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rPr>
      </w:pPr>
      <w:r>
        <w:rPr>
          <w:rFonts w:hint="eastAsia" w:ascii="仿宋" w:hAnsi="仿宋" w:eastAsia="仿宋"/>
        </w:rPr>
        <w:t xml:space="preserve">  </w:t>
      </w:r>
    </w:p>
    <w:p>
      <w:pPr>
        <w:jc w:val="center"/>
        <w:rPr>
          <w:rFonts w:ascii="仿宋" w:hAnsi="仿宋" w:eastAsia="仿宋"/>
        </w:rPr>
      </w:pPr>
    </w:p>
    <w:p>
      <w:pPr>
        <w:jc w:val="center"/>
        <w:outlineLvl w:val="0"/>
        <w:rPr>
          <w:rFonts w:ascii="仿宋" w:hAnsi="仿宋" w:eastAsia="仿宋"/>
          <w:spacing w:val="80"/>
          <w:sz w:val="112"/>
          <w:szCs w:val="112"/>
        </w:rPr>
      </w:pPr>
      <w:r>
        <w:rPr>
          <w:rFonts w:hint="eastAsia" w:ascii="仿宋" w:hAnsi="仿宋" w:eastAsia="仿宋"/>
          <w:spacing w:val="80"/>
          <w:sz w:val="112"/>
          <w:szCs w:val="112"/>
        </w:rPr>
        <w:t>竞争性磋商</w:t>
      </w:r>
    </w:p>
    <w:p>
      <w:pPr>
        <w:jc w:val="center"/>
        <w:outlineLvl w:val="0"/>
        <w:rPr>
          <w:rFonts w:ascii="仿宋" w:hAnsi="仿宋" w:eastAsia="仿宋"/>
          <w:spacing w:val="80"/>
          <w:sz w:val="112"/>
          <w:szCs w:val="112"/>
        </w:rPr>
      </w:pPr>
      <w:r>
        <w:rPr>
          <w:rFonts w:hint="eastAsia" w:ascii="仿宋" w:hAnsi="仿宋" w:eastAsia="仿宋"/>
          <w:spacing w:val="80"/>
          <w:sz w:val="112"/>
          <w:szCs w:val="112"/>
        </w:rPr>
        <w:t>文件</w:t>
      </w:r>
    </w:p>
    <w:p>
      <w:pPr>
        <w:spacing w:line="700" w:lineRule="exact"/>
        <w:jc w:val="center"/>
        <w:rPr>
          <w:rFonts w:ascii="仿宋" w:hAnsi="仿宋" w:eastAsia="仿宋"/>
          <w:sz w:val="32"/>
        </w:rPr>
      </w:pPr>
    </w:p>
    <w:p>
      <w:pPr>
        <w:spacing w:line="700" w:lineRule="exact"/>
        <w:jc w:val="center"/>
        <w:rPr>
          <w:rFonts w:ascii="仿宋" w:hAnsi="仿宋" w:eastAsia="仿宋"/>
          <w:sz w:val="32"/>
        </w:rPr>
      </w:pPr>
    </w:p>
    <w:p>
      <w:pPr>
        <w:spacing w:line="700" w:lineRule="exact"/>
        <w:jc w:val="center"/>
        <w:rPr>
          <w:rFonts w:ascii="仿宋" w:hAnsi="仿宋" w:eastAsia="仿宋"/>
          <w:sz w:val="32"/>
        </w:rPr>
      </w:pPr>
    </w:p>
    <w:p>
      <w:pPr>
        <w:spacing w:line="700" w:lineRule="exact"/>
        <w:ind w:firstLine="2160" w:firstLineChars="600"/>
        <w:rPr>
          <w:rFonts w:ascii="仿宋" w:hAnsi="仿宋" w:eastAsia="仿宋"/>
          <w:sz w:val="36"/>
          <w:szCs w:val="30"/>
        </w:rPr>
      </w:pPr>
      <w:r>
        <w:rPr>
          <w:rFonts w:hint="eastAsia" w:ascii="仿宋" w:hAnsi="仿宋" w:eastAsia="仿宋"/>
          <w:sz w:val="36"/>
          <w:szCs w:val="30"/>
        </w:rPr>
        <w:t>项目编号：HRZ20C055</w:t>
      </w:r>
    </w:p>
    <w:p>
      <w:pPr>
        <w:spacing w:line="700" w:lineRule="exact"/>
        <w:ind w:left="4310" w:leftChars="768" w:hanging="2160" w:hangingChars="600"/>
        <w:rPr>
          <w:rFonts w:ascii="仿宋" w:hAnsi="仿宋" w:eastAsia="仿宋"/>
          <w:sz w:val="36"/>
          <w:szCs w:val="30"/>
        </w:rPr>
      </w:pPr>
      <w:r>
        <w:rPr>
          <w:rFonts w:hint="eastAsia" w:ascii="仿宋" w:hAnsi="仿宋" w:eastAsia="仿宋"/>
          <w:sz w:val="36"/>
          <w:szCs w:val="30"/>
        </w:rPr>
        <w:t>项目名称：《殡葬服务标志和设置规范》宣贯试点---垫江殡仪馆应用项目制作</w:t>
      </w:r>
    </w:p>
    <w:p>
      <w:pPr>
        <w:spacing w:line="700" w:lineRule="exact"/>
        <w:ind w:firstLine="1749" w:firstLineChars="486"/>
        <w:rPr>
          <w:rFonts w:ascii="仿宋" w:hAnsi="仿宋" w:eastAsia="仿宋"/>
          <w:sz w:val="36"/>
          <w:szCs w:val="30"/>
        </w:rPr>
      </w:pPr>
    </w:p>
    <w:p>
      <w:pPr>
        <w:spacing w:line="700" w:lineRule="exact"/>
        <w:jc w:val="center"/>
        <w:rPr>
          <w:rFonts w:ascii="仿宋" w:hAnsi="仿宋" w:eastAsia="仿宋"/>
          <w:b/>
          <w:sz w:val="32"/>
          <w:szCs w:val="32"/>
        </w:rPr>
      </w:pPr>
      <w:r>
        <w:rPr>
          <w:rFonts w:hint="eastAsia" w:ascii="仿宋" w:hAnsi="仿宋" w:eastAsia="仿宋"/>
          <w:sz w:val="36"/>
          <w:szCs w:val="30"/>
        </w:rPr>
        <w:t>采   购   人：重庆市殡葬事业管理中心</w:t>
      </w:r>
    </w:p>
    <w:p>
      <w:pPr>
        <w:spacing w:line="700" w:lineRule="exact"/>
        <w:jc w:val="center"/>
        <w:rPr>
          <w:rFonts w:ascii="仿宋" w:hAnsi="仿宋" w:eastAsia="仿宋"/>
          <w:sz w:val="36"/>
          <w:szCs w:val="30"/>
        </w:rPr>
      </w:pPr>
      <w:r>
        <w:rPr>
          <w:rFonts w:hint="eastAsia" w:ascii="仿宋" w:hAnsi="仿宋" w:eastAsia="仿宋"/>
          <w:sz w:val="36"/>
          <w:szCs w:val="30"/>
        </w:rPr>
        <w:t>采购代理机构：重庆宏仁招标代理有限公司</w:t>
      </w:r>
    </w:p>
    <w:p>
      <w:pPr>
        <w:spacing w:line="700" w:lineRule="exact"/>
        <w:ind w:firstLine="1749" w:firstLineChars="486"/>
        <w:rPr>
          <w:rFonts w:ascii="仿宋" w:hAnsi="仿宋" w:eastAsia="仿宋"/>
          <w:sz w:val="36"/>
          <w:szCs w:val="30"/>
        </w:rPr>
      </w:pPr>
    </w:p>
    <w:p>
      <w:pPr>
        <w:pStyle w:val="2"/>
      </w:pPr>
    </w:p>
    <w:p>
      <w:pPr>
        <w:spacing w:line="700" w:lineRule="exact"/>
        <w:ind w:firstLine="1749" w:firstLineChars="486"/>
        <w:rPr>
          <w:rFonts w:ascii="仿宋" w:hAnsi="仿宋" w:eastAsia="仿宋"/>
          <w:sz w:val="36"/>
          <w:szCs w:val="30"/>
        </w:rPr>
      </w:pPr>
    </w:p>
    <w:p>
      <w:pPr>
        <w:spacing w:line="720" w:lineRule="exact"/>
        <w:jc w:val="center"/>
        <w:outlineLvl w:val="0"/>
        <w:rPr>
          <w:rFonts w:ascii="仿宋" w:hAnsi="仿宋" w:eastAsia="仿宋"/>
          <w:sz w:val="48"/>
          <w:szCs w:val="32"/>
        </w:rPr>
      </w:pPr>
      <w:r>
        <w:rPr>
          <w:rFonts w:hint="eastAsia" w:ascii="仿宋" w:hAnsi="仿宋" w:eastAsia="仿宋"/>
          <w:sz w:val="48"/>
          <w:szCs w:val="32"/>
        </w:rPr>
        <w:t>二〇二〇年九月</w:t>
      </w:r>
    </w:p>
    <w:p>
      <w:pPr>
        <w:spacing w:line="720" w:lineRule="exact"/>
        <w:jc w:val="center"/>
        <w:outlineLvl w:val="0"/>
        <w:rPr>
          <w:rFonts w:ascii="仿宋" w:hAnsi="仿宋" w:eastAsia="仿宋"/>
          <w:sz w:val="48"/>
          <w:szCs w:val="32"/>
        </w:rPr>
      </w:pPr>
    </w:p>
    <w:p>
      <w:pPr>
        <w:spacing w:line="720" w:lineRule="exact"/>
        <w:jc w:val="center"/>
        <w:outlineLvl w:val="0"/>
        <w:rPr>
          <w:rFonts w:ascii="仿宋" w:hAnsi="仿宋" w:eastAsia="仿宋"/>
          <w:sz w:val="48"/>
          <w:szCs w:val="32"/>
        </w:rPr>
      </w:pPr>
    </w:p>
    <w:p>
      <w:pPr>
        <w:spacing w:line="720" w:lineRule="exact"/>
        <w:jc w:val="center"/>
        <w:outlineLvl w:val="0"/>
        <w:rPr>
          <w:rFonts w:ascii="仿宋" w:hAnsi="仿宋" w:eastAsia="仿宋"/>
          <w:sz w:val="48"/>
          <w:szCs w:val="32"/>
        </w:rPr>
      </w:pPr>
    </w:p>
    <w:p>
      <w:pPr>
        <w:spacing w:line="480" w:lineRule="exact"/>
        <w:jc w:val="center"/>
        <w:outlineLvl w:val="0"/>
        <w:rPr>
          <w:rFonts w:ascii="仿宋" w:hAnsi="仿宋" w:eastAsia="仿宋"/>
          <w:sz w:val="44"/>
          <w:szCs w:val="28"/>
        </w:rPr>
      </w:pPr>
      <w:r>
        <w:rPr>
          <w:rFonts w:hint="eastAsia" w:ascii="仿宋" w:hAnsi="仿宋" w:eastAsia="仿宋"/>
          <w:sz w:val="44"/>
          <w:szCs w:val="28"/>
        </w:rPr>
        <w:t>目   录</w:t>
      </w:r>
    </w:p>
    <w:p>
      <w:pPr>
        <w:pStyle w:val="45"/>
        <w:tabs>
          <w:tab w:val="right" w:leader="dot" w:pos="9412"/>
        </w:tabs>
      </w:pPr>
      <w:r>
        <w:rPr>
          <w:rFonts w:hint="eastAsia" w:ascii="仿宋" w:hAnsi="仿宋" w:eastAsia="仿宋"/>
          <w:sz w:val="21"/>
          <w:szCs w:val="21"/>
        </w:rPr>
        <w:fldChar w:fldCharType="begin"/>
      </w:r>
      <w:r>
        <w:rPr>
          <w:rFonts w:hint="eastAsia" w:ascii="仿宋" w:hAnsi="仿宋" w:eastAsia="仿宋"/>
          <w:sz w:val="21"/>
          <w:szCs w:val="21"/>
        </w:rPr>
        <w:instrText xml:space="preserve"> TOC \o "1-3" \h \z </w:instrText>
      </w:r>
      <w:r>
        <w:rPr>
          <w:rFonts w:hint="eastAsia" w:ascii="仿宋" w:hAnsi="仿宋" w:eastAsia="仿宋"/>
          <w:sz w:val="21"/>
          <w:szCs w:val="21"/>
        </w:rPr>
        <w:fldChar w:fldCharType="separate"/>
      </w:r>
      <w:r>
        <w:rPr>
          <w:rFonts w:hint="eastAsia" w:ascii="仿宋" w:hAnsi="仿宋" w:eastAsia="仿宋"/>
          <w:szCs w:val="21"/>
        </w:rPr>
        <w:fldChar w:fldCharType="begin"/>
      </w:r>
      <w:r>
        <w:rPr>
          <w:rFonts w:hint="eastAsia" w:ascii="仿宋" w:hAnsi="仿宋" w:eastAsia="仿宋"/>
          <w:szCs w:val="21"/>
        </w:rPr>
        <w:instrText xml:space="preserve"> HYPERLINK \l _Toc19903 </w:instrText>
      </w:r>
      <w:r>
        <w:rPr>
          <w:rFonts w:hint="eastAsia" w:ascii="仿宋" w:hAnsi="仿宋" w:eastAsia="仿宋"/>
          <w:szCs w:val="21"/>
        </w:rPr>
        <w:fldChar w:fldCharType="separate"/>
      </w:r>
      <w:r>
        <w:rPr>
          <w:rFonts w:hint="eastAsia" w:ascii="仿宋" w:hAnsi="仿宋" w:eastAsia="仿宋"/>
          <w:szCs w:val="30"/>
        </w:rPr>
        <w:t>第一篇  采购邀请书</w:t>
      </w:r>
      <w:r>
        <w:tab/>
      </w:r>
      <w:r>
        <w:fldChar w:fldCharType="begin"/>
      </w:r>
      <w:r>
        <w:instrText xml:space="preserve"> PAGEREF _Toc19903 </w:instrText>
      </w:r>
      <w:r>
        <w:fldChar w:fldCharType="separate"/>
      </w:r>
      <w:r>
        <w:t>- 4 -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_Toc7949 </w:instrText>
      </w:r>
      <w:r>
        <w:rPr>
          <w:rFonts w:hint="eastAsia" w:ascii="仿宋" w:hAnsi="仿宋" w:eastAsia="仿宋"/>
          <w:szCs w:val="21"/>
        </w:rPr>
        <w:fldChar w:fldCharType="separate"/>
      </w:r>
      <w:r>
        <w:rPr>
          <w:rFonts w:hint="eastAsia" w:ascii="仿宋" w:hAnsi="仿宋" w:eastAsia="仿宋"/>
          <w:szCs w:val="24"/>
        </w:rPr>
        <w:t>一、竞争性磋商内容</w:t>
      </w:r>
      <w:r>
        <w:tab/>
      </w:r>
      <w:r>
        <w:fldChar w:fldCharType="begin"/>
      </w:r>
      <w:r>
        <w:instrText xml:space="preserve"> PAGEREF _Toc7949 </w:instrText>
      </w:r>
      <w:r>
        <w:fldChar w:fldCharType="separate"/>
      </w:r>
      <w:r>
        <w:t>- 4 -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_Toc26644 </w:instrText>
      </w:r>
      <w:r>
        <w:rPr>
          <w:rFonts w:hint="eastAsia" w:ascii="仿宋" w:hAnsi="仿宋" w:eastAsia="仿宋"/>
          <w:szCs w:val="21"/>
        </w:rPr>
        <w:fldChar w:fldCharType="separate"/>
      </w:r>
      <w:r>
        <w:rPr>
          <w:rFonts w:hint="eastAsia" w:ascii="仿宋" w:hAnsi="仿宋" w:eastAsia="仿宋"/>
          <w:szCs w:val="24"/>
        </w:rPr>
        <w:t>二、资金来源</w:t>
      </w:r>
      <w:r>
        <w:tab/>
      </w:r>
      <w:r>
        <w:fldChar w:fldCharType="begin"/>
      </w:r>
      <w:r>
        <w:instrText xml:space="preserve"> PAGEREF _Toc26644 </w:instrText>
      </w:r>
      <w:r>
        <w:fldChar w:fldCharType="separate"/>
      </w:r>
      <w:r>
        <w:t>- 4 -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_Toc1048 </w:instrText>
      </w:r>
      <w:r>
        <w:rPr>
          <w:rFonts w:hint="eastAsia" w:ascii="仿宋" w:hAnsi="仿宋" w:eastAsia="仿宋"/>
          <w:szCs w:val="21"/>
        </w:rPr>
        <w:fldChar w:fldCharType="separate"/>
      </w:r>
      <w:r>
        <w:rPr>
          <w:rFonts w:hint="eastAsia" w:ascii="仿宋" w:hAnsi="仿宋" w:eastAsia="仿宋"/>
          <w:szCs w:val="24"/>
        </w:rPr>
        <w:t>三、供应商资格条件</w:t>
      </w:r>
      <w:r>
        <w:tab/>
      </w:r>
      <w:r>
        <w:fldChar w:fldCharType="begin"/>
      </w:r>
      <w:r>
        <w:instrText xml:space="preserve"> PAGEREF _Toc1048 </w:instrText>
      </w:r>
      <w:r>
        <w:fldChar w:fldCharType="separate"/>
      </w:r>
      <w:r>
        <w:t>- 4 -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_Toc243 </w:instrText>
      </w:r>
      <w:r>
        <w:rPr>
          <w:rFonts w:hint="eastAsia" w:ascii="仿宋" w:hAnsi="仿宋" w:eastAsia="仿宋"/>
          <w:szCs w:val="21"/>
        </w:rPr>
        <w:fldChar w:fldCharType="separate"/>
      </w:r>
      <w:r>
        <w:rPr>
          <w:rFonts w:hint="eastAsia" w:ascii="仿宋" w:hAnsi="仿宋" w:eastAsia="仿宋"/>
          <w:szCs w:val="24"/>
        </w:rPr>
        <w:t>四、磋商有关说明</w:t>
      </w:r>
      <w:r>
        <w:tab/>
      </w:r>
      <w:r>
        <w:fldChar w:fldCharType="begin"/>
      </w:r>
      <w:r>
        <w:instrText xml:space="preserve"> PAGEREF _Toc243 </w:instrText>
      </w:r>
      <w:r>
        <w:fldChar w:fldCharType="separate"/>
      </w:r>
      <w:r>
        <w:t>- 4 -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_Toc13592 </w:instrText>
      </w:r>
      <w:r>
        <w:rPr>
          <w:rFonts w:hint="eastAsia" w:ascii="仿宋" w:hAnsi="仿宋" w:eastAsia="仿宋"/>
          <w:szCs w:val="21"/>
        </w:rPr>
        <w:fldChar w:fldCharType="separate"/>
      </w:r>
      <w:r>
        <w:rPr>
          <w:rFonts w:hint="eastAsia" w:ascii="仿宋" w:hAnsi="仿宋" w:eastAsia="仿宋"/>
          <w:szCs w:val="24"/>
        </w:rPr>
        <w:t>五、磋商保证金</w:t>
      </w:r>
      <w:r>
        <w:tab/>
      </w:r>
      <w:r>
        <w:fldChar w:fldCharType="begin"/>
      </w:r>
      <w:r>
        <w:instrText xml:space="preserve"> PAGEREF _Toc13592 </w:instrText>
      </w:r>
      <w:r>
        <w:fldChar w:fldCharType="separate"/>
      </w:r>
      <w:r>
        <w:t>- 5 -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_Toc54 </w:instrText>
      </w:r>
      <w:r>
        <w:rPr>
          <w:rFonts w:hint="eastAsia" w:ascii="仿宋" w:hAnsi="仿宋" w:eastAsia="仿宋"/>
          <w:szCs w:val="21"/>
        </w:rPr>
        <w:fldChar w:fldCharType="separate"/>
      </w:r>
      <w:r>
        <w:rPr>
          <w:rFonts w:hint="eastAsia" w:ascii="仿宋" w:hAnsi="仿宋" w:eastAsia="仿宋"/>
          <w:szCs w:val="24"/>
        </w:rPr>
        <w:t>六、其它有关规定</w:t>
      </w:r>
      <w:r>
        <w:tab/>
      </w:r>
      <w:r>
        <w:fldChar w:fldCharType="begin"/>
      </w:r>
      <w:r>
        <w:instrText xml:space="preserve"> PAGEREF _Toc54 </w:instrText>
      </w:r>
      <w:r>
        <w:fldChar w:fldCharType="separate"/>
      </w:r>
      <w:r>
        <w:t>- 6 -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_Toc28964 </w:instrText>
      </w:r>
      <w:r>
        <w:rPr>
          <w:rFonts w:hint="eastAsia" w:ascii="仿宋" w:hAnsi="仿宋" w:eastAsia="仿宋"/>
          <w:szCs w:val="21"/>
        </w:rPr>
        <w:fldChar w:fldCharType="separate"/>
      </w:r>
      <w:r>
        <w:rPr>
          <w:rFonts w:hint="eastAsia" w:ascii="仿宋" w:hAnsi="仿宋" w:eastAsia="仿宋"/>
          <w:szCs w:val="24"/>
        </w:rPr>
        <w:t>七、联系方式</w:t>
      </w:r>
      <w:r>
        <w:tab/>
      </w:r>
      <w:r>
        <w:fldChar w:fldCharType="begin"/>
      </w:r>
      <w:r>
        <w:instrText xml:space="preserve"> PAGEREF _Toc28964 </w:instrText>
      </w:r>
      <w:r>
        <w:fldChar w:fldCharType="separate"/>
      </w:r>
      <w:r>
        <w:t>- 6 -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_Toc19636 </w:instrText>
      </w:r>
      <w:r>
        <w:rPr>
          <w:rFonts w:hint="eastAsia" w:ascii="仿宋" w:hAnsi="仿宋" w:eastAsia="仿宋"/>
          <w:szCs w:val="21"/>
        </w:rPr>
        <w:fldChar w:fldCharType="separate"/>
      </w:r>
      <w:r>
        <w:rPr>
          <w:rFonts w:hint="eastAsia" w:ascii="仿宋" w:hAnsi="仿宋" w:eastAsia="仿宋"/>
          <w:szCs w:val="30"/>
        </w:rPr>
        <w:t>第二篇 采购服务需求</w:t>
      </w:r>
      <w:r>
        <w:tab/>
      </w:r>
      <w:r>
        <w:fldChar w:fldCharType="begin"/>
      </w:r>
      <w:r>
        <w:instrText xml:space="preserve"> PAGEREF _Toc19636 </w:instrText>
      </w:r>
      <w:r>
        <w:fldChar w:fldCharType="separate"/>
      </w:r>
      <w:r>
        <w:t>- 9 -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_Toc32615 </w:instrText>
      </w:r>
      <w:r>
        <w:rPr>
          <w:rFonts w:hint="eastAsia" w:ascii="仿宋" w:hAnsi="仿宋" w:eastAsia="仿宋"/>
          <w:szCs w:val="21"/>
        </w:rPr>
        <w:fldChar w:fldCharType="separate"/>
      </w:r>
      <w:r>
        <w:rPr>
          <w:rFonts w:hint="eastAsia" w:ascii="仿宋" w:hAnsi="仿宋" w:eastAsia="仿宋"/>
          <w:szCs w:val="30"/>
        </w:rPr>
        <w:t>第三篇  采购商务需求</w:t>
      </w:r>
      <w:r>
        <w:tab/>
      </w:r>
      <w:r>
        <w:fldChar w:fldCharType="begin"/>
      </w:r>
      <w:r>
        <w:instrText xml:space="preserve"> PAGEREF _Toc32615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_Toc26067 </w:instrText>
      </w:r>
      <w:r>
        <w:rPr>
          <w:rFonts w:hint="eastAsia" w:ascii="仿宋" w:hAnsi="仿宋" w:eastAsia="仿宋"/>
          <w:szCs w:val="21"/>
        </w:rPr>
        <w:fldChar w:fldCharType="separate"/>
      </w:r>
      <w:r>
        <w:rPr>
          <w:rFonts w:hint="eastAsia" w:ascii="仿宋" w:hAnsi="仿宋" w:eastAsia="仿宋"/>
          <w:szCs w:val="24"/>
        </w:rPr>
        <w:t>一、服务时间、服务地点及验收方式</w:t>
      </w:r>
      <w:r>
        <w:tab/>
      </w:r>
      <w:r>
        <w:fldChar w:fldCharType="begin"/>
      </w:r>
      <w:r>
        <w:instrText xml:space="preserve"> PAGEREF _Toc26067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_Toc2804 </w:instrText>
      </w:r>
      <w:r>
        <w:rPr>
          <w:rFonts w:hint="eastAsia" w:ascii="仿宋" w:hAnsi="仿宋" w:eastAsia="仿宋"/>
          <w:szCs w:val="21"/>
        </w:rPr>
        <w:fldChar w:fldCharType="separate"/>
      </w:r>
      <w:r>
        <w:rPr>
          <w:rFonts w:hint="eastAsia" w:ascii="仿宋" w:hAnsi="仿宋" w:eastAsia="仿宋"/>
          <w:szCs w:val="24"/>
        </w:rPr>
        <w:t>二、报价要求</w:t>
      </w:r>
      <w:r>
        <w:tab/>
      </w:r>
      <w:r>
        <w:fldChar w:fldCharType="begin"/>
      </w:r>
      <w:r>
        <w:instrText xml:space="preserve"> PAGEREF _Toc2804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_Toc22166 </w:instrText>
      </w:r>
      <w:r>
        <w:rPr>
          <w:rFonts w:hint="eastAsia" w:ascii="仿宋" w:hAnsi="仿宋" w:eastAsia="仿宋"/>
          <w:szCs w:val="21"/>
        </w:rPr>
        <w:fldChar w:fldCharType="separate"/>
      </w:r>
      <w:r>
        <w:rPr>
          <w:rFonts w:hint="eastAsia" w:ascii="仿宋" w:hAnsi="仿宋" w:eastAsia="仿宋"/>
          <w:szCs w:val="24"/>
        </w:rPr>
        <w:t>三、质量保证及售后服务</w:t>
      </w:r>
      <w:r>
        <w:tab/>
      </w:r>
      <w:r>
        <w:fldChar w:fldCharType="begin"/>
      </w:r>
      <w:r>
        <w:instrText xml:space="preserve"> PAGEREF _Toc22166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_Toc13838 </w:instrText>
      </w:r>
      <w:r>
        <w:rPr>
          <w:rFonts w:hint="eastAsia" w:ascii="仿宋" w:hAnsi="仿宋" w:eastAsia="仿宋"/>
          <w:szCs w:val="21"/>
        </w:rPr>
        <w:fldChar w:fldCharType="separate"/>
      </w:r>
      <w:r>
        <w:rPr>
          <w:rFonts w:hint="eastAsia" w:ascii="仿宋" w:hAnsi="仿宋" w:eastAsia="仿宋"/>
          <w:szCs w:val="24"/>
        </w:rPr>
        <w:t>四、付款方式</w:t>
      </w:r>
      <w:r>
        <w:tab/>
      </w:r>
      <w:r>
        <w:fldChar w:fldCharType="begin"/>
      </w:r>
      <w:r>
        <w:instrText xml:space="preserve"> PAGEREF _Toc13838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_Toc13884 </w:instrText>
      </w:r>
      <w:r>
        <w:rPr>
          <w:rFonts w:hint="eastAsia" w:ascii="仿宋" w:hAnsi="仿宋" w:eastAsia="仿宋"/>
          <w:szCs w:val="21"/>
        </w:rPr>
        <w:fldChar w:fldCharType="separate"/>
      </w:r>
      <w:r>
        <w:rPr>
          <w:rFonts w:hint="eastAsia" w:ascii="仿宋" w:hAnsi="仿宋" w:eastAsia="仿宋"/>
          <w:szCs w:val="24"/>
        </w:rPr>
        <w:t>五、知识产权</w:t>
      </w:r>
      <w:r>
        <w:tab/>
      </w:r>
      <w:r>
        <w:fldChar w:fldCharType="begin"/>
      </w:r>
      <w:r>
        <w:instrText xml:space="preserve"> PAGEREF _Toc13884 </w:instrText>
      </w:r>
      <w:r>
        <w:fldChar w:fldCharType="separate"/>
      </w:r>
      <w:r>
        <w:t>- 12 -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_Toc26846 </w:instrText>
      </w:r>
      <w:r>
        <w:rPr>
          <w:rFonts w:hint="eastAsia" w:ascii="仿宋" w:hAnsi="仿宋" w:eastAsia="仿宋"/>
          <w:szCs w:val="21"/>
        </w:rPr>
        <w:fldChar w:fldCharType="separate"/>
      </w:r>
      <w:r>
        <w:rPr>
          <w:rFonts w:hint="eastAsia" w:ascii="仿宋" w:hAnsi="仿宋" w:eastAsia="仿宋"/>
          <w:szCs w:val="24"/>
        </w:rPr>
        <w:t>六、其他</w:t>
      </w:r>
      <w:r>
        <w:tab/>
      </w:r>
      <w:r>
        <w:fldChar w:fldCharType="begin"/>
      </w:r>
      <w:r>
        <w:instrText xml:space="preserve"> PAGEREF _Toc26846 </w:instrText>
      </w:r>
      <w:r>
        <w:fldChar w:fldCharType="separate"/>
      </w:r>
      <w:r>
        <w:t>- 12 -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_Toc19112 </w:instrText>
      </w:r>
      <w:r>
        <w:rPr>
          <w:rFonts w:hint="eastAsia" w:ascii="仿宋" w:hAnsi="仿宋" w:eastAsia="仿宋"/>
          <w:szCs w:val="21"/>
        </w:rPr>
        <w:fldChar w:fldCharType="separate"/>
      </w:r>
      <w:r>
        <w:rPr>
          <w:rFonts w:hint="eastAsia" w:ascii="仿宋" w:hAnsi="仿宋" w:eastAsia="仿宋"/>
          <w:szCs w:val="30"/>
        </w:rPr>
        <w:t>第四篇  磋商程序及方法、评审标准、无效响应和</w:t>
      </w:r>
      <w:r>
        <w:rPr>
          <w:rFonts w:hint="eastAsia" w:ascii="仿宋" w:hAnsi="仿宋" w:eastAsia="仿宋"/>
          <w:szCs w:val="36"/>
        </w:rPr>
        <w:t>采购终止</w:t>
      </w:r>
      <w:r>
        <w:tab/>
      </w:r>
      <w:r>
        <w:fldChar w:fldCharType="begin"/>
      </w:r>
      <w:r>
        <w:instrText xml:space="preserve"> PAGEREF _Toc19112 </w:instrText>
      </w:r>
      <w:r>
        <w:fldChar w:fldCharType="separate"/>
      </w:r>
      <w:r>
        <w:t>- 13 -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_Toc16045 </w:instrText>
      </w:r>
      <w:r>
        <w:rPr>
          <w:rFonts w:hint="eastAsia" w:ascii="仿宋" w:hAnsi="仿宋" w:eastAsia="仿宋"/>
          <w:szCs w:val="21"/>
        </w:rPr>
        <w:fldChar w:fldCharType="separate"/>
      </w:r>
      <w:r>
        <w:rPr>
          <w:rFonts w:hint="eastAsia" w:ascii="仿宋" w:hAnsi="仿宋" w:eastAsia="仿宋"/>
          <w:szCs w:val="24"/>
        </w:rPr>
        <w:t>一、磋商程序及方法</w:t>
      </w:r>
      <w:r>
        <w:tab/>
      </w:r>
      <w:r>
        <w:fldChar w:fldCharType="begin"/>
      </w:r>
      <w:r>
        <w:instrText xml:space="preserve"> PAGEREF _Toc16045 </w:instrText>
      </w:r>
      <w:r>
        <w:fldChar w:fldCharType="separate"/>
      </w:r>
      <w:r>
        <w:t>- 13 -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_Toc17189 </w:instrText>
      </w:r>
      <w:r>
        <w:rPr>
          <w:rFonts w:hint="eastAsia" w:ascii="仿宋" w:hAnsi="仿宋" w:eastAsia="仿宋"/>
          <w:szCs w:val="21"/>
        </w:rPr>
        <w:fldChar w:fldCharType="separate"/>
      </w:r>
      <w:r>
        <w:rPr>
          <w:rFonts w:hint="eastAsia" w:ascii="仿宋" w:hAnsi="仿宋" w:eastAsia="仿宋"/>
          <w:szCs w:val="24"/>
        </w:rPr>
        <w:t>二、评审标准</w:t>
      </w:r>
      <w:r>
        <w:tab/>
      </w:r>
      <w:r>
        <w:fldChar w:fldCharType="begin"/>
      </w:r>
      <w:r>
        <w:instrText xml:space="preserve"> PAGEREF _Toc17189 </w:instrText>
      </w:r>
      <w:r>
        <w:fldChar w:fldCharType="separate"/>
      </w:r>
      <w:r>
        <w:t>- 15 -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_Toc19995 </w:instrText>
      </w:r>
      <w:r>
        <w:rPr>
          <w:rFonts w:hint="eastAsia" w:ascii="仿宋" w:hAnsi="仿宋" w:eastAsia="仿宋"/>
          <w:szCs w:val="21"/>
        </w:rPr>
        <w:fldChar w:fldCharType="separate"/>
      </w:r>
      <w:r>
        <w:rPr>
          <w:rFonts w:hint="eastAsia" w:ascii="仿宋" w:hAnsi="仿宋" w:eastAsia="仿宋"/>
          <w:szCs w:val="24"/>
        </w:rPr>
        <w:t>三、无效响应</w:t>
      </w:r>
      <w:r>
        <w:tab/>
      </w:r>
      <w:r>
        <w:fldChar w:fldCharType="begin"/>
      </w:r>
      <w:r>
        <w:instrText xml:space="preserve"> PAGEREF _Toc19995 </w:instrText>
      </w:r>
      <w:r>
        <w:fldChar w:fldCharType="separate"/>
      </w:r>
      <w:r>
        <w:t>- 17 -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_Toc30283 </w:instrText>
      </w:r>
      <w:r>
        <w:rPr>
          <w:rFonts w:hint="eastAsia" w:ascii="仿宋" w:hAnsi="仿宋" w:eastAsia="仿宋"/>
          <w:szCs w:val="21"/>
        </w:rPr>
        <w:fldChar w:fldCharType="separate"/>
      </w:r>
      <w:r>
        <w:rPr>
          <w:rFonts w:hint="eastAsia" w:ascii="仿宋" w:hAnsi="仿宋" w:eastAsia="仿宋"/>
          <w:szCs w:val="24"/>
        </w:rPr>
        <w:t>四、采购终止</w:t>
      </w:r>
      <w:r>
        <w:tab/>
      </w:r>
      <w:r>
        <w:fldChar w:fldCharType="begin"/>
      </w:r>
      <w:r>
        <w:instrText xml:space="preserve"> PAGEREF _Toc30283 </w:instrText>
      </w:r>
      <w:r>
        <w:fldChar w:fldCharType="separate"/>
      </w:r>
      <w:r>
        <w:t>- 18 -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_Toc11249 </w:instrText>
      </w:r>
      <w:r>
        <w:rPr>
          <w:rFonts w:hint="eastAsia" w:ascii="仿宋" w:hAnsi="仿宋" w:eastAsia="仿宋"/>
          <w:szCs w:val="21"/>
        </w:rPr>
        <w:fldChar w:fldCharType="separate"/>
      </w:r>
      <w:r>
        <w:rPr>
          <w:rFonts w:hint="eastAsia" w:ascii="仿宋" w:hAnsi="仿宋" w:eastAsia="仿宋"/>
          <w:szCs w:val="30"/>
        </w:rPr>
        <w:t>第五篇  供应商须知</w:t>
      </w:r>
      <w:r>
        <w:tab/>
      </w:r>
      <w:r>
        <w:fldChar w:fldCharType="begin"/>
      </w:r>
      <w:r>
        <w:instrText xml:space="preserve"> PAGEREF _Toc11249 </w:instrText>
      </w:r>
      <w:r>
        <w:fldChar w:fldCharType="separate"/>
      </w:r>
      <w:r>
        <w:t>- 19 -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_Toc9232 </w:instrText>
      </w:r>
      <w:r>
        <w:rPr>
          <w:rFonts w:hint="eastAsia" w:ascii="仿宋" w:hAnsi="仿宋" w:eastAsia="仿宋"/>
          <w:szCs w:val="21"/>
        </w:rPr>
        <w:fldChar w:fldCharType="separate"/>
      </w:r>
      <w:r>
        <w:rPr>
          <w:rFonts w:hint="eastAsia" w:ascii="仿宋" w:hAnsi="仿宋" w:eastAsia="仿宋"/>
          <w:szCs w:val="24"/>
        </w:rPr>
        <w:t>一、磋商费用</w:t>
      </w:r>
      <w:r>
        <w:tab/>
      </w:r>
      <w:r>
        <w:fldChar w:fldCharType="begin"/>
      </w:r>
      <w:r>
        <w:instrText xml:space="preserve"> PAGEREF _Toc9232 </w:instrText>
      </w:r>
      <w:r>
        <w:fldChar w:fldCharType="separate"/>
      </w:r>
      <w:r>
        <w:t>- 19 -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_Toc17776 </w:instrText>
      </w:r>
      <w:r>
        <w:rPr>
          <w:rFonts w:hint="eastAsia" w:ascii="仿宋" w:hAnsi="仿宋" w:eastAsia="仿宋"/>
          <w:szCs w:val="21"/>
        </w:rPr>
        <w:fldChar w:fldCharType="separate"/>
      </w:r>
      <w:r>
        <w:rPr>
          <w:rFonts w:hint="eastAsia" w:ascii="仿宋" w:hAnsi="仿宋" w:eastAsia="仿宋"/>
          <w:szCs w:val="24"/>
        </w:rPr>
        <w:t>二、竞争性磋商文件</w:t>
      </w:r>
      <w:r>
        <w:tab/>
      </w:r>
      <w:r>
        <w:fldChar w:fldCharType="begin"/>
      </w:r>
      <w:r>
        <w:instrText xml:space="preserve"> PAGEREF _Toc17776 </w:instrText>
      </w:r>
      <w:r>
        <w:fldChar w:fldCharType="separate"/>
      </w:r>
      <w:r>
        <w:t>- 19 -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_Toc1348 </w:instrText>
      </w:r>
      <w:r>
        <w:rPr>
          <w:rFonts w:hint="eastAsia" w:ascii="仿宋" w:hAnsi="仿宋" w:eastAsia="仿宋"/>
          <w:szCs w:val="21"/>
        </w:rPr>
        <w:fldChar w:fldCharType="separate"/>
      </w:r>
      <w:r>
        <w:rPr>
          <w:rFonts w:hint="eastAsia" w:ascii="仿宋" w:hAnsi="仿宋" w:eastAsia="仿宋"/>
          <w:szCs w:val="24"/>
        </w:rPr>
        <w:t>三、磋商要求</w:t>
      </w:r>
      <w:r>
        <w:tab/>
      </w:r>
      <w:r>
        <w:fldChar w:fldCharType="begin"/>
      </w:r>
      <w:r>
        <w:instrText xml:space="preserve"> PAGEREF _Toc1348 </w:instrText>
      </w:r>
      <w:r>
        <w:fldChar w:fldCharType="separate"/>
      </w:r>
      <w:r>
        <w:t>- 19 -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_Toc22109 </w:instrText>
      </w:r>
      <w:r>
        <w:rPr>
          <w:rFonts w:hint="eastAsia" w:ascii="仿宋" w:hAnsi="仿宋" w:eastAsia="仿宋"/>
          <w:szCs w:val="21"/>
        </w:rPr>
        <w:fldChar w:fldCharType="separate"/>
      </w:r>
      <w:r>
        <w:rPr>
          <w:rFonts w:hint="eastAsia" w:ascii="仿宋" w:hAnsi="仿宋" w:eastAsia="仿宋"/>
          <w:szCs w:val="24"/>
        </w:rPr>
        <w:t>四、成交供应商的确认和变更</w:t>
      </w:r>
      <w:r>
        <w:tab/>
      </w:r>
      <w:r>
        <w:fldChar w:fldCharType="begin"/>
      </w:r>
      <w:r>
        <w:instrText xml:space="preserve"> PAGEREF _Toc22109 </w:instrText>
      </w:r>
      <w:r>
        <w:fldChar w:fldCharType="separate"/>
      </w:r>
      <w:r>
        <w:t>- 20 -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_Toc31753 </w:instrText>
      </w:r>
      <w:r>
        <w:rPr>
          <w:rFonts w:hint="eastAsia" w:ascii="仿宋" w:hAnsi="仿宋" w:eastAsia="仿宋"/>
          <w:szCs w:val="21"/>
        </w:rPr>
        <w:fldChar w:fldCharType="separate"/>
      </w:r>
      <w:r>
        <w:rPr>
          <w:rFonts w:hint="eastAsia" w:ascii="仿宋" w:hAnsi="仿宋" w:eastAsia="仿宋"/>
          <w:szCs w:val="24"/>
        </w:rPr>
        <w:t>五、成交通知</w:t>
      </w:r>
      <w:r>
        <w:tab/>
      </w:r>
      <w:r>
        <w:fldChar w:fldCharType="begin"/>
      </w:r>
      <w:r>
        <w:instrText xml:space="preserve"> PAGEREF _Toc31753 </w:instrText>
      </w:r>
      <w:r>
        <w:fldChar w:fldCharType="separate"/>
      </w:r>
      <w:r>
        <w:t>- 21 -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_Toc8206 </w:instrText>
      </w:r>
      <w:r>
        <w:rPr>
          <w:rFonts w:hint="eastAsia" w:ascii="仿宋" w:hAnsi="仿宋" w:eastAsia="仿宋"/>
          <w:szCs w:val="21"/>
        </w:rPr>
        <w:fldChar w:fldCharType="separate"/>
      </w:r>
      <w:r>
        <w:rPr>
          <w:rFonts w:hint="eastAsia" w:ascii="仿宋" w:hAnsi="仿宋" w:eastAsia="仿宋"/>
          <w:szCs w:val="24"/>
        </w:rPr>
        <w:t>六、关于质疑和投诉</w:t>
      </w:r>
      <w:r>
        <w:tab/>
      </w:r>
      <w:r>
        <w:fldChar w:fldCharType="begin"/>
      </w:r>
      <w:r>
        <w:instrText xml:space="preserve"> PAGEREF _Toc8206 </w:instrText>
      </w:r>
      <w:r>
        <w:fldChar w:fldCharType="separate"/>
      </w:r>
      <w:r>
        <w:t>- 21 -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_Toc5391 </w:instrText>
      </w:r>
      <w:r>
        <w:rPr>
          <w:rFonts w:hint="eastAsia" w:ascii="仿宋" w:hAnsi="仿宋" w:eastAsia="仿宋"/>
          <w:szCs w:val="21"/>
        </w:rPr>
        <w:fldChar w:fldCharType="separate"/>
      </w:r>
      <w:r>
        <w:rPr>
          <w:rFonts w:hint="eastAsia" w:ascii="仿宋" w:hAnsi="仿宋" w:eastAsia="仿宋"/>
          <w:szCs w:val="24"/>
        </w:rPr>
        <w:t>七、采购代理服务费</w:t>
      </w:r>
      <w:r>
        <w:tab/>
      </w:r>
      <w:r>
        <w:fldChar w:fldCharType="begin"/>
      </w:r>
      <w:r>
        <w:instrText xml:space="preserve"> PAGEREF _Toc5391 </w:instrText>
      </w:r>
      <w:r>
        <w:fldChar w:fldCharType="separate"/>
      </w:r>
      <w:r>
        <w:t>- 22 -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_Toc29258 </w:instrText>
      </w:r>
      <w:r>
        <w:rPr>
          <w:rFonts w:hint="eastAsia" w:ascii="仿宋" w:hAnsi="仿宋" w:eastAsia="仿宋"/>
          <w:szCs w:val="21"/>
        </w:rPr>
        <w:fldChar w:fldCharType="separate"/>
      </w:r>
      <w:r>
        <w:rPr>
          <w:rFonts w:hint="eastAsia" w:ascii="仿宋" w:hAnsi="仿宋" w:eastAsia="仿宋"/>
          <w:szCs w:val="24"/>
        </w:rPr>
        <w:t>八、签订合同</w:t>
      </w:r>
      <w:r>
        <w:tab/>
      </w:r>
      <w:r>
        <w:fldChar w:fldCharType="begin"/>
      </w:r>
      <w:r>
        <w:instrText xml:space="preserve"> PAGEREF _Toc29258 </w:instrText>
      </w:r>
      <w:r>
        <w:fldChar w:fldCharType="separate"/>
      </w:r>
      <w:r>
        <w:t>- 22 -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_Toc18324 </w:instrText>
      </w:r>
      <w:r>
        <w:rPr>
          <w:rFonts w:hint="eastAsia" w:ascii="仿宋" w:hAnsi="仿宋" w:eastAsia="仿宋"/>
          <w:szCs w:val="21"/>
        </w:rPr>
        <w:fldChar w:fldCharType="separate"/>
      </w:r>
      <w:r>
        <w:rPr>
          <w:rFonts w:hint="eastAsia" w:ascii="仿宋" w:hAnsi="仿宋" w:eastAsia="仿宋"/>
          <w:szCs w:val="24"/>
        </w:rPr>
        <w:t>九、</w:t>
      </w:r>
      <w:r>
        <w:rPr>
          <w:rFonts w:hint="eastAsia" w:ascii="仿宋" w:hAnsi="仿宋" w:eastAsia="仿宋"/>
        </w:rPr>
        <w:t>政府采购信用融资</w:t>
      </w:r>
      <w:r>
        <w:tab/>
      </w:r>
      <w:r>
        <w:fldChar w:fldCharType="begin"/>
      </w:r>
      <w:r>
        <w:instrText xml:space="preserve"> PAGEREF _Toc18324 </w:instrText>
      </w:r>
      <w:r>
        <w:fldChar w:fldCharType="separate"/>
      </w:r>
      <w:r>
        <w:t>- 22 -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_Toc23480 </w:instrText>
      </w:r>
      <w:r>
        <w:rPr>
          <w:rFonts w:hint="eastAsia" w:ascii="仿宋" w:hAnsi="仿宋" w:eastAsia="仿宋"/>
          <w:szCs w:val="21"/>
        </w:rPr>
        <w:fldChar w:fldCharType="separate"/>
      </w:r>
      <w:r>
        <w:rPr>
          <w:rFonts w:hint="eastAsia" w:ascii="仿宋" w:hAnsi="仿宋" w:eastAsia="仿宋"/>
          <w:szCs w:val="30"/>
        </w:rPr>
        <w:t>第六篇  合同草案条款</w:t>
      </w:r>
      <w:r>
        <w:tab/>
      </w:r>
      <w:r>
        <w:fldChar w:fldCharType="begin"/>
      </w:r>
      <w:r>
        <w:instrText xml:space="preserve"> PAGEREF _Toc23480 </w:instrText>
      </w:r>
      <w:r>
        <w:fldChar w:fldCharType="separate"/>
      </w:r>
      <w:r>
        <w:t>- 23 -</w:t>
      </w:r>
      <w:r>
        <w:fldChar w:fldCharType="end"/>
      </w:r>
      <w:r>
        <w:rPr>
          <w:rFonts w:hint="eastAsia" w:ascii="仿宋" w:hAnsi="仿宋" w:eastAsia="仿宋"/>
          <w:szCs w:val="21"/>
        </w:rPr>
        <w:fldChar w:fldCharType="end"/>
      </w:r>
    </w:p>
    <w:p>
      <w:pPr>
        <w:pStyle w:val="45"/>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_Toc4726 </w:instrText>
      </w:r>
      <w:r>
        <w:rPr>
          <w:rFonts w:hint="eastAsia" w:ascii="仿宋" w:hAnsi="仿宋" w:eastAsia="仿宋"/>
          <w:szCs w:val="21"/>
        </w:rPr>
        <w:fldChar w:fldCharType="separate"/>
      </w:r>
      <w:r>
        <w:rPr>
          <w:rFonts w:hint="eastAsia" w:ascii="仿宋" w:hAnsi="仿宋" w:eastAsia="仿宋"/>
          <w:szCs w:val="30"/>
        </w:rPr>
        <w:t>第七篇  响应文件编制要求</w:t>
      </w:r>
      <w:r>
        <w:tab/>
      </w:r>
      <w:r>
        <w:fldChar w:fldCharType="begin"/>
      </w:r>
      <w:r>
        <w:instrText xml:space="preserve"> PAGEREF _Toc4726 </w:instrText>
      </w:r>
      <w:r>
        <w:fldChar w:fldCharType="separate"/>
      </w:r>
      <w:r>
        <w:t>- 26 -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_Toc18220 </w:instrText>
      </w:r>
      <w:r>
        <w:rPr>
          <w:rFonts w:hint="eastAsia" w:ascii="仿宋" w:hAnsi="仿宋" w:eastAsia="仿宋"/>
          <w:szCs w:val="21"/>
        </w:rPr>
        <w:fldChar w:fldCharType="separate"/>
      </w:r>
      <w:r>
        <w:rPr>
          <w:rFonts w:hint="eastAsia" w:ascii="仿宋" w:hAnsi="仿宋" w:eastAsia="仿宋"/>
          <w:szCs w:val="24"/>
        </w:rPr>
        <w:t>一、经济部分</w:t>
      </w:r>
      <w:r>
        <w:tab/>
      </w:r>
      <w:r>
        <w:fldChar w:fldCharType="begin"/>
      </w:r>
      <w:r>
        <w:instrText xml:space="preserve"> PAGEREF _Toc18220 </w:instrText>
      </w:r>
      <w:r>
        <w:fldChar w:fldCharType="separate"/>
      </w:r>
      <w:r>
        <w:t>- 27 -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_Toc18148 </w:instrText>
      </w:r>
      <w:r>
        <w:rPr>
          <w:rFonts w:hint="eastAsia" w:ascii="仿宋" w:hAnsi="仿宋" w:eastAsia="仿宋"/>
          <w:szCs w:val="21"/>
        </w:rPr>
        <w:fldChar w:fldCharType="separate"/>
      </w:r>
      <w:r>
        <w:rPr>
          <w:rFonts w:hint="eastAsia" w:ascii="仿宋" w:hAnsi="仿宋" w:eastAsia="仿宋"/>
          <w:szCs w:val="24"/>
        </w:rPr>
        <w:t>二、服务部分</w:t>
      </w:r>
      <w:r>
        <w:tab/>
      </w:r>
      <w:r>
        <w:fldChar w:fldCharType="begin"/>
      </w:r>
      <w:r>
        <w:instrText xml:space="preserve"> PAGEREF _Toc18148 </w:instrText>
      </w:r>
      <w:r>
        <w:fldChar w:fldCharType="separate"/>
      </w:r>
      <w:r>
        <w:t>- 29 -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_Toc13347 </w:instrText>
      </w:r>
      <w:r>
        <w:rPr>
          <w:rFonts w:hint="eastAsia" w:ascii="仿宋" w:hAnsi="仿宋" w:eastAsia="仿宋"/>
          <w:szCs w:val="21"/>
        </w:rPr>
        <w:fldChar w:fldCharType="separate"/>
      </w:r>
      <w:r>
        <w:rPr>
          <w:rFonts w:hint="eastAsia" w:ascii="仿宋" w:hAnsi="仿宋" w:eastAsia="仿宋"/>
          <w:szCs w:val="24"/>
        </w:rPr>
        <w:t>三、商务部分</w:t>
      </w:r>
      <w:r>
        <w:tab/>
      </w:r>
      <w:r>
        <w:fldChar w:fldCharType="begin"/>
      </w:r>
      <w:r>
        <w:instrText xml:space="preserve"> PAGEREF _Toc13347 </w:instrText>
      </w:r>
      <w:r>
        <w:fldChar w:fldCharType="separate"/>
      </w:r>
      <w:r>
        <w:t>- 31 -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_Toc5475 </w:instrText>
      </w:r>
      <w:r>
        <w:rPr>
          <w:rFonts w:hint="eastAsia" w:ascii="仿宋" w:hAnsi="仿宋" w:eastAsia="仿宋"/>
          <w:szCs w:val="21"/>
        </w:rPr>
        <w:fldChar w:fldCharType="separate"/>
      </w:r>
      <w:r>
        <w:rPr>
          <w:rFonts w:hint="eastAsia" w:ascii="仿宋" w:hAnsi="仿宋" w:eastAsia="仿宋"/>
          <w:szCs w:val="24"/>
        </w:rPr>
        <w:t>四、资格条件及其他</w:t>
      </w:r>
      <w:r>
        <w:tab/>
      </w:r>
      <w:r>
        <w:fldChar w:fldCharType="begin"/>
      </w:r>
      <w:r>
        <w:instrText xml:space="preserve"> PAGEREF _Toc5475 </w:instrText>
      </w:r>
      <w:r>
        <w:fldChar w:fldCharType="separate"/>
      </w:r>
      <w:r>
        <w:t>- 33 -</w:t>
      </w:r>
      <w:r>
        <w:fldChar w:fldCharType="end"/>
      </w:r>
      <w:r>
        <w:rPr>
          <w:rFonts w:hint="eastAsia" w:ascii="仿宋" w:hAnsi="仿宋" w:eastAsia="仿宋"/>
          <w:szCs w:val="21"/>
        </w:rPr>
        <w:fldChar w:fldCharType="end"/>
      </w:r>
    </w:p>
    <w:p>
      <w:pPr>
        <w:pStyle w:val="45"/>
        <w:tabs>
          <w:tab w:val="right" w:leader="dot" w:pos="9412"/>
        </w:tabs>
        <w:ind w:firstLine="560" w:firstLineChars="200"/>
      </w:pPr>
      <w:r>
        <w:rPr>
          <w:rFonts w:hint="eastAsia" w:ascii="仿宋" w:hAnsi="仿宋" w:eastAsia="仿宋"/>
          <w:szCs w:val="21"/>
        </w:rPr>
        <w:fldChar w:fldCharType="begin"/>
      </w:r>
      <w:r>
        <w:rPr>
          <w:rFonts w:hint="eastAsia" w:ascii="仿宋" w:hAnsi="仿宋" w:eastAsia="仿宋"/>
          <w:szCs w:val="21"/>
        </w:rPr>
        <w:instrText xml:space="preserve"> HYPERLINK \l _Toc27672 </w:instrText>
      </w:r>
      <w:r>
        <w:rPr>
          <w:rFonts w:hint="eastAsia" w:ascii="仿宋" w:hAnsi="仿宋" w:eastAsia="仿宋"/>
          <w:szCs w:val="21"/>
        </w:rPr>
        <w:fldChar w:fldCharType="separate"/>
      </w:r>
      <w:r>
        <w:rPr>
          <w:rFonts w:hint="eastAsia" w:ascii="仿宋" w:hAnsi="仿宋" w:eastAsia="仿宋"/>
          <w:szCs w:val="24"/>
        </w:rPr>
        <w:t>五、其他</w:t>
      </w:r>
      <w:r>
        <w:tab/>
      </w:r>
      <w:r>
        <w:fldChar w:fldCharType="begin"/>
      </w:r>
      <w:r>
        <w:instrText xml:space="preserve"> PAGEREF _Toc27672 </w:instrText>
      </w:r>
      <w:r>
        <w:fldChar w:fldCharType="separate"/>
      </w:r>
      <w:r>
        <w:t>- 38 -</w:t>
      </w:r>
      <w:r>
        <w:fldChar w:fldCharType="end"/>
      </w:r>
      <w:r>
        <w:rPr>
          <w:rFonts w:hint="eastAsia" w:ascii="仿宋" w:hAnsi="仿宋" w:eastAsia="仿宋"/>
          <w:szCs w:val="21"/>
        </w:rPr>
        <w:fldChar w:fldCharType="end"/>
      </w:r>
    </w:p>
    <w:p>
      <w:pPr>
        <w:pStyle w:val="2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_Toc22605 </w:instrText>
      </w:r>
      <w:r>
        <w:rPr>
          <w:rFonts w:hint="eastAsia" w:ascii="仿宋" w:hAnsi="仿宋" w:eastAsia="仿宋"/>
          <w:szCs w:val="21"/>
        </w:rPr>
        <w:fldChar w:fldCharType="separate"/>
      </w:r>
      <w:r>
        <w:rPr>
          <w:rFonts w:hint="eastAsia" w:ascii="仿宋" w:hAnsi="仿宋" w:eastAsia="仿宋"/>
          <w:szCs w:val="24"/>
        </w:rPr>
        <w:t>六、其他应提供的资料</w:t>
      </w:r>
      <w:r>
        <w:tab/>
      </w:r>
      <w:r>
        <w:fldChar w:fldCharType="begin"/>
      </w:r>
      <w:r>
        <w:instrText xml:space="preserve"> PAGEREF _Toc22605 </w:instrText>
      </w:r>
      <w:r>
        <w:fldChar w:fldCharType="separate"/>
      </w:r>
      <w:r>
        <w:t>- 42 -</w:t>
      </w:r>
      <w:r>
        <w:fldChar w:fldCharType="end"/>
      </w:r>
      <w:r>
        <w:rPr>
          <w:rFonts w:hint="eastAsia" w:ascii="仿宋" w:hAnsi="仿宋" w:eastAsia="仿宋"/>
          <w:szCs w:val="21"/>
        </w:rPr>
        <w:fldChar w:fldCharType="end"/>
      </w:r>
    </w:p>
    <w:p>
      <w:pPr>
        <w:pStyle w:val="45"/>
        <w:tabs>
          <w:tab w:val="right" w:leader="dot" w:pos="9402"/>
        </w:tabs>
        <w:spacing w:line="480" w:lineRule="exact"/>
        <w:ind w:left="560"/>
        <w:jc w:val="center"/>
        <w:rPr>
          <w:rFonts w:ascii="仿宋" w:hAnsi="仿宋" w:eastAsia="仿宋"/>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仿宋" w:hAnsi="仿宋" w:eastAsia="仿宋"/>
          <w:szCs w:val="21"/>
        </w:rPr>
        <w:fldChar w:fldCharType="end"/>
      </w:r>
    </w:p>
    <w:p>
      <w:pPr>
        <w:pStyle w:val="4"/>
        <w:spacing w:line="420" w:lineRule="exact"/>
        <w:jc w:val="center"/>
        <w:rPr>
          <w:rFonts w:ascii="仿宋" w:hAnsi="仿宋" w:eastAsia="仿宋"/>
          <w:b w:val="0"/>
          <w:szCs w:val="30"/>
        </w:rPr>
      </w:pPr>
      <w:bookmarkStart w:id="0" w:name="_Toc12789052"/>
      <w:bookmarkStart w:id="1" w:name="_Toc11641050"/>
      <w:bookmarkStart w:id="2" w:name="_Toc19903"/>
      <w:r>
        <w:rPr>
          <w:rFonts w:hint="eastAsia" w:ascii="仿宋" w:hAnsi="仿宋" w:eastAsia="仿宋"/>
          <w:b w:val="0"/>
          <w:sz w:val="36"/>
          <w:szCs w:val="30"/>
        </w:rPr>
        <w:t>第一篇  采购邀请书</w:t>
      </w:r>
      <w:bookmarkEnd w:id="0"/>
      <w:bookmarkEnd w:id="1"/>
      <w:bookmarkEnd w:id="2"/>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重庆宏仁招标代理有限公司接受重庆市殡葬事业管理中心的委托，对《殡葬服务标志和设置规范》宣贯试点---垫江殡仪馆应用项目制作进行竞争性磋商采购。欢迎有资格的供应商前来参与磋商。</w:t>
      </w:r>
    </w:p>
    <w:p>
      <w:pPr>
        <w:pStyle w:val="5"/>
        <w:spacing w:before="0" w:after="0" w:line="420" w:lineRule="exact"/>
        <w:rPr>
          <w:rFonts w:ascii="仿宋" w:hAnsi="仿宋" w:eastAsia="仿宋"/>
          <w:sz w:val="24"/>
          <w:szCs w:val="24"/>
        </w:rPr>
      </w:pPr>
      <w:bookmarkStart w:id="3" w:name="_Toc313893526"/>
      <w:bookmarkStart w:id="4" w:name="_Toc317775175"/>
      <w:bookmarkStart w:id="5" w:name="_Toc7949"/>
      <w:r>
        <w:rPr>
          <w:rFonts w:hint="eastAsia" w:ascii="仿宋" w:hAnsi="仿宋" w:eastAsia="仿宋"/>
          <w:sz w:val="24"/>
          <w:szCs w:val="24"/>
        </w:rPr>
        <w:t>一、竞争性磋商内容</w:t>
      </w:r>
      <w:bookmarkEnd w:id="3"/>
      <w:bookmarkEnd w:id="4"/>
      <w:bookmarkEnd w:id="5"/>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10"/>
        <w:gridCol w:w="1487"/>
        <w:gridCol w:w="327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8"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分包号</w:t>
            </w:r>
          </w:p>
        </w:tc>
        <w:tc>
          <w:tcPr>
            <w:tcW w:w="1910"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分包名称</w:t>
            </w:r>
          </w:p>
        </w:tc>
        <w:tc>
          <w:tcPr>
            <w:tcW w:w="1487"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采购预算</w:t>
            </w:r>
          </w:p>
          <w:p>
            <w:pPr>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（万元）</w:t>
            </w:r>
          </w:p>
        </w:tc>
        <w:tc>
          <w:tcPr>
            <w:tcW w:w="3270"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磋商保证金</w:t>
            </w:r>
          </w:p>
          <w:p>
            <w:pPr>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（元）</w:t>
            </w:r>
          </w:p>
        </w:tc>
        <w:tc>
          <w:tcPr>
            <w:tcW w:w="1561" w:type="dxa"/>
            <w:tcBorders>
              <w:top w:val="single" w:color="auto" w:sz="4" w:space="0"/>
              <w:left w:val="single" w:color="auto" w:sz="4" w:space="0"/>
              <w:right w:val="single" w:color="auto" w:sz="4" w:space="0"/>
            </w:tcBorders>
            <w:vAlign w:val="center"/>
          </w:tcPr>
          <w:p>
            <w:pPr>
              <w:spacing w:line="420" w:lineRule="exact"/>
              <w:jc w:val="center"/>
              <w:rPr>
                <w:rFonts w:ascii="仿宋" w:hAnsi="仿宋" w:eastAsia="仿宋"/>
              </w:rPr>
            </w:pPr>
            <w:r>
              <w:rPr>
                <w:rFonts w:hint="eastAsia" w:ascii="仿宋" w:hAnsi="仿宋" w:eastAsia="仿宋" w:cs="宋体"/>
                <w:b/>
                <w:bCs/>
                <w:kern w:val="0"/>
                <w:sz w:val="21"/>
                <w:szCs w:val="24"/>
              </w:rPr>
              <w:t>成交数量</w:t>
            </w:r>
          </w:p>
          <w:p>
            <w:pPr>
              <w:spacing w:line="420" w:lineRule="exact"/>
              <w:jc w:val="center"/>
              <w:rPr>
                <w:rFonts w:ascii="仿宋" w:hAnsi="仿宋" w:eastAsia="仿宋" w:cs="宋体"/>
                <w:b/>
                <w:bCs/>
                <w:kern w:val="0"/>
                <w:sz w:val="21"/>
                <w:szCs w:val="24"/>
              </w:rPr>
            </w:pPr>
            <w:r>
              <w:rPr>
                <w:rFonts w:hint="eastAsia" w:ascii="仿宋" w:hAnsi="仿宋" w:eastAsia="仿宋" w:cs="宋体"/>
                <w:b/>
                <w:bCs/>
                <w:kern w:val="0"/>
                <w:sz w:val="21"/>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88"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kern w:val="0"/>
                <w:sz w:val="21"/>
                <w:szCs w:val="24"/>
              </w:rPr>
            </w:pPr>
            <w:bookmarkStart w:id="6" w:name="_Hlk344477914"/>
            <w:r>
              <w:rPr>
                <w:rFonts w:hint="eastAsia" w:ascii="仿宋" w:hAnsi="仿宋" w:eastAsia="仿宋" w:cs="宋体"/>
                <w:kern w:val="0"/>
                <w:sz w:val="21"/>
                <w:szCs w:val="24"/>
              </w:rPr>
              <w:t>1</w:t>
            </w:r>
          </w:p>
        </w:tc>
        <w:tc>
          <w:tcPr>
            <w:tcW w:w="1910"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kern w:val="0"/>
                <w:sz w:val="21"/>
                <w:szCs w:val="24"/>
              </w:rPr>
            </w:pPr>
            <w:r>
              <w:rPr>
                <w:rFonts w:hint="eastAsia" w:ascii="仿宋" w:hAnsi="仿宋" w:eastAsia="仿宋"/>
                <w:sz w:val="21"/>
                <w:szCs w:val="24"/>
              </w:rPr>
              <w:t>《殡葬服务标志和设置规范》宣贯试点---垫江殡仪馆应用项目制作</w:t>
            </w:r>
          </w:p>
        </w:tc>
        <w:tc>
          <w:tcPr>
            <w:tcW w:w="1487"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kern w:val="0"/>
                <w:sz w:val="21"/>
                <w:szCs w:val="24"/>
              </w:rPr>
            </w:pPr>
            <w:r>
              <w:rPr>
                <w:rFonts w:hint="eastAsia" w:ascii="仿宋" w:hAnsi="仿宋" w:eastAsia="仿宋" w:cs="宋体"/>
                <w:kern w:val="0"/>
                <w:sz w:val="21"/>
                <w:szCs w:val="24"/>
              </w:rPr>
              <w:t>12</w:t>
            </w:r>
          </w:p>
        </w:tc>
        <w:tc>
          <w:tcPr>
            <w:tcW w:w="3270" w:type="dxa"/>
            <w:tcBorders>
              <w:top w:val="single" w:color="auto" w:sz="4" w:space="0"/>
              <w:left w:val="single" w:color="auto" w:sz="4" w:space="0"/>
              <w:right w:val="single" w:color="auto" w:sz="4" w:space="0"/>
            </w:tcBorders>
            <w:vAlign w:val="center"/>
          </w:tcPr>
          <w:p>
            <w:pPr>
              <w:widowControl/>
              <w:spacing w:line="420" w:lineRule="exact"/>
              <w:jc w:val="center"/>
              <w:rPr>
                <w:rFonts w:ascii="仿宋" w:hAnsi="仿宋" w:eastAsia="仿宋" w:cs="宋体"/>
                <w:kern w:val="0"/>
                <w:sz w:val="21"/>
                <w:szCs w:val="24"/>
              </w:rPr>
            </w:pPr>
            <w:r>
              <w:rPr>
                <w:rFonts w:hint="eastAsia" w:ascii="仿宋" w:hAnsi="仿宋" w:eastAsia="仿宋" w:cs="宋体"/>
                <w:kern w:val="0"/>
                <w:sz w:val="21"/>
                <w:szCs w:val="24"/>
              </w:rPr>
              <w:t>2400</w:t>
            </w:r>
          </w:p>
        </w:tc>
        <w:tc>
          <w:tcPr>
            <w:tcW w:w="1561" w:type="dxa"/>
            <w:tcBorders>
              <w:top w:val="single" w:color="auto" w:sz="4" w:space="0"/>
              <w:left w:val="single" w:color="auto" w:sz="4" w:space="0"/>
              <w:right w:val="single" w:color="auto" w:sz="4" w:space="0"/>
            </w:tcBorders>
          </w:tcPr>
          <w:p>
            <w:pPr>
              <w:widowControl/>
              <w:spacing w:line="420" w:lineRule="exact"/>
              <w:ind w:firstLine="630" w:firstLineChars="300"/>
              <w:rPr>
                <w:rFonts w:ascii="仿宋" w:hAnsi="仿宋" w:eastAsia="仿宋" w:cs="宋体"/>
                <w:kern w:val="0"/>
                <w:sz w:val="21"/>
                <w:szCs w:val="24"/>
              </w:rPr>
            </w:pPr>
            <w:r>
              <w:rPr>
                <w:rFonts w:hint="eastAsia" w:ascii="仿宋" w:hAnsi="仿宋" w:eastAsia="仿宋" w:cs="宋体"/>
                <w:kern w:val="0"/>
                <w:sz w:val="21"/>
                <w:szCs w:val="24"/>
              </w:rPr>
              <w:t>1</w:t>
            </w:r>
          </w:p>
        </w:tc>
      </w:tr>
      <w:bookmarkEnd w:id="6"/>
    </w:tbl>
    <w:p>
      <w:pPr>
        <w:pStyle w:val="5"/>
        <w:spacing w:before="0" w:after="0" w:line="420" w:lineRule="exact"/>
        <w:rPr>
          <w:rFonts w:ascii="仿宋" w:hAnsi="仿宋" w:eastAsia="仿宋"/>
          <w:sz w:val="24"/>
          <w:szCs w:val="24"/>
        </w:rPr>
      </w:pPr>
      <w:bookmarkStart w:id="7" w:name="_Toc26644"/>
      <w:bookmarkStart w:id="8" w:name="_Toc373860293"/>
      <w:bookmarkStart w:id="9" w:name="_Toc317775178"/>
      <w:r>
        <w:rPr>
          <w:rFonts w:hint="eastAsia" w:ascii="仿宋" w:hAnsi="仿宋" w:eastAsia="仿宋"/>
          <w:sz w:val="24"/>
          <w:szCs w:val="24"/>
        </w:rPr>
        <w:t>二、资金来源</w:t>
      </w:r>
      <w:bookmarkEnd w:id="7"/>
    </w:p>
    <w:p>
      <w:pPr>
        <w:spacing w:line="420" w:lineRule="exact"/>
        <w:ind w:firstLine="480" w:firstLineChars="200"/>
        <w:rPr>
          <w:rFonts w:ascii="仿宋" w:hAnsi="仿宋" w:eastAsia="仿宋"/>
          <w:sz w:val="24"/>
          <w:szCs w:val="24"/>
        </w:rPr>
      </w:pPr>
      <w:r>
        <w:rPr>
          <w:rFonts w:hint="eastAsia" w:ascii="仿宋" w:hAnsi="仿宋" w:eastAsia="仿宋"/>
          <w:sz w:val="24"/>
          <w:szCs w:val="24"/>
        </w:rPr>
        <w:t>自有资金</w:t>
      </w:r>
    </w:p>
    <w:p>
      <w:pPr>
        <w:pStyle w:val="5"/>
        <w:spacing w:before="0" w:after="0" w:line="420" w:lineRule="exact"/>
        <w:rPr>
          <w:rFonts w:ascii="仿宋" w:hAnsi="仿宋" w:eastAsia="仿宋"/>
          <w:sz w:val="24"/>
          <w:szCs w:val="24"/>
        </w:rPr>
      </w:pPr>
      <w:bookmarkStart w:id="10" w:name="_Toc1048"/>
      <w:r>
        <w:rPr>
          <w:rFonts w:hint="eastAsia" w:ascii="仿宋" w:hAnsi="仿宋" w:eastAsia="仿宋"/>
          <w:sz w:val="24"/>
          <w:szCs w:val="24"/>
        </w:rPr>
        <w:t>三、供应商资格条件</w:t>
      </w:r>
      <w:bookmarkEnd w:id="10"/>
    </w:p>
    <w:p>
      <w:pPr>
        <w:spacing w:line="420" w:lineRule="exact"/>
        <w:ind w:firstLine="480" w:firstLineChars="200"/>
        <w:rPr>
          <w:rFonts w:ascii="仿宋" w:hAnsi="仿宋" w:eastAsia="仿宋"/>
          <w:sz w:val="24"/>
          <w:szCs w:val="24"/>
        </w:rPr>
      </w:pPr>
      <w:r>
        <w:rPr>
          <w:rFonts w:hint="eastAsia" w:ascii="仿宋" w:hAnsi="仿宋" w:eastAsia="仿宋"/>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420" w:lineRule="exact"/>
        <w:ind w:firstLine="240" w:firstLineChars="100"/>
        <w:rPr>
          <w:rFonts w:ascii="仿宋" w:hAnsi="仿宋" w:eastAsia="仿宋"/>
          <w:sz w:val="24"/>
          <w:szCs w:val="24"/>
        </w:rPr>
      </w:pPr>
      <w:r>
        <w:rPr>
          <w:rFonts w:hint="eastAsia" w:ascii="仿宋" w:hAnsi="仿宋" w:eastAsia="仿宋"/>
          <w:sz w:val="24"/>
          <w:szCs w:val="24"/>
        </w:rPr>
        <w:t>（一）基本资格条件</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1、具有独立承担民事责任的能力；</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2、具有良好的商业信誉和健全的财务会计制度；</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3、具有履行合同所必需的设备和专业技术能力；</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4、有依法缴纳税收和社会保障资金的良好记录；</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5、参加政府采购活动前三年内，在经营活动中没有重大违法记录；</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6、法律、行政法规规定的其他条件。</w:t>
      </w:r>
    </w:p>
    <w:p>
      <w:pPr>
        <w:pStyle w:val="2"/>
        <w:rPr>
          <w:rFonts w:ascii="宋体" w:hAnsi="宋体" w:eastAsia="宋体" w:cs="宋体"/>
        </w:rPr>
      </w:pPr>
      <w:r>
        <w:rPr>
          <w:rFonts w:hint="eastAsia" w:ascii="宋体" w:hAnsi="宋体" w:eastAsia="宋体" w:cs="宋体"/>
        </w:rPr>
        <w:t xml:space="preserve">  </w:t>
      </w:r>
    </w:p>
    <w:p>
      <w:pPr>
        <w:pStyle w:val="5"/>
        <w:spacing w:before="0" w:after="0" w:line="420" w:lineRule="exact"/>
        <w:rPr>
          <w:rFonts w:ascii="仿宋" w:hAnsi="仿宋" w:eastAsia="仿宋"/>
          <w:sz w:val="24"/>
          <w:szCs w:val="24"/>
        </w:rPr>
      </w:pPr>
      <w:bookmarkStart w:id="11" w:name="_Toc243"/>
      <w:r>
        <w:rPr>
          <w:rFonts w:hint="eastAsia" w:ascii="仿宋" w:hAnsi="仿宋" w:eastAsia="仿宋"/>
          <w:sz w:val="24"/>
          <w:szCs w:val="24"/>
        </w:rPr>
        <w:t>四、磋商有关说明</w:t>
      </w:r>
      <w:bookmarkEnd w:id="8"/>
      <w:bookmarkEnd w:id="11"/>
    </w:p>
    <w:p>
      <w:pPr>
        <w:spacing w:line="420" w:lineRule="exact"/>
        <w:ind w:firstLine="480" w:firstLineChars="200"/>
        <w:rPr>
          <w:rFonts w:ascii="仿宋" w:hAnsi="仿宋" w:eastAsia="仿宋"/>
          <w:sz w:val="24"/>
          <w:szCs w:val="24"/>
        </w:rPr>
      </w:pPr>
      <w:r>
        <w:rPr>
          <w:rFonts w:hint="eastAsia" w:ascii="仿宋" w:hAnsi="仿宋" w:eastAsia="仿宋"/>
          <w:sz w:val="24"/>
          <w:szCs w:val="24"/>
        </w:rPr>
        <w:t>（一）凡有意参加磋商的供应商，请到采购代理机构领取或在重庆市殡葬事业管理中心网站（http://mzj.cq.gov.cn/cqbzglzx/html/index.html）下载本项目竞争性磋商文件以及补遗等磋商前公布的所有项目资料，无论供应商领取或下载与否，均视为已知晓所有磋商实质性要求内容。</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（二）磋商文件公告期限：</w:t>
      </w:r>
      <w:r>
        <w:rPr>
          <w:rFonts w:ascii="仿宋" w:hAnsi="仿宋" w:eastAsia="仿宋"/>
          <w:sz w:val="24"/>
          <w:szCs w:val="24"/>
        </w:rPr>
        <w:t>自</w:t>
      </w:r>
      <w:r>
        <w:rPr>
          <w:rFonts w:hint="eastAsia" w:ascii="仿宋" w:hAnsi="仿宋" w:eastAsia="仿宋"/>
          <w:sz w:val="24"/>
          <w:szCs w:val="24"/>
        </w:rPr>
        <w:t>磋商</w:t>
      </w:r>
      <w:r>
        <w:rPr>
          <w:rFonts w:ascii="仿宋" w:hAnsi="仿宋" w:eastAsia="仿宋"/>
          <w:sz w:val="24"/>
          <w:szCs w:val="24"/>
        </w:rPr>
        <w:t>公告发布之日（20</w:t>
      </w:r>
      <w:r>
        <w:rPr>
          <w:rFonts w:hint="eastAsia" w:ascii="仿宋" w:hAnsi="仿宋" w:eastAsia="仿宋"/>
          <w:sz w:val="24"/>
          <w:szCs w:val="24"/>
        </w:rPr>
        <w:t>20</w:t>
      </w:r>
      <w:r>
        <w:rPr>
          <w:rFonts w:ascii="仿宋" w:hAnsi="仿宋" w:eastAsia="仿宋"/>
          <w:sz w:val="24"/>
          <w:szCs w:val="24"/>
        </w:rPr>
        <w:t>年</w:t>
      </w:r>
      <w:r>
        <w:rPr>
          <w:rFonts w:hint="eastAsia" w:ascii="仿宋" w:hAnsi="仿宋" w:eastAsia="仿宋"/>
          <w:sz w:val="24"/>
          <w:szCs w:val="24"/>
        </w:rPr>
        <w:t>9</w:t>
      </w:r>
      <w:r>
        <w:rPr>
          <w:rFonts w:ascii="仿宋" w:hAnsi="仿宋" w:eastAsia="仿宋"/>
          <w:sz w:val="24"/>
          <w:szCs w:val="24"/>
        </w:rPr>
        <w:t>月</w:t>
      </w:r>
      <w:r>
        <w:rPr>
          <w:rFonts w:hint="eastAsia" w:ascii="仿宋" w:hAnsi="仿宋" w:eastAsia="仿宋"/>
          <w:sz w:val="24"/>
          <w:szCs w:val="24"/>
        </w:rPr>
        <w:t>1</w:t>
      </w:r>
      <w:r>
        <w:rPr>
          <w:rFonts w:hint="eastAsia" w:ascii="仿宋" w:hAnsi="仿宋" w:eastAsia="仿宋"/>
          <w:sz w:val="24"/>
          <w:szCs w:val="24"/>
          <w:lang w:val="en-US" w:eastAsia="zh-CN"/>
        </w:rPr>
        <w:t>1</w:t>
      </w:r>
      <w:r>
        <w:rPr>
          <w:rFonts w:ascii="仿宋" w:hAnsi="仿宋" w:eastAsia="仿宋"/>
          <w:sz w:val="24"/>
          <w:szCs w:val="24"/>
        </w:rPr>
        <w:t>日）起</w:t>
      </w:r>
      <w:r>
        <w:rPr>
          <w:rFonts w:hint="eastAsia" w:ascii="仿宋" w:hAnsi="仿宋" w:eastAsia="仿宋"/>
          <w:sz w:val="24"/>
          <w:szCs w:val="24"/>
        </w:rPr>
        <w:t>10个日历</w:t>
      </w:r>
      <w:r>
        <w:rPr>
          <w:rFonts w:ascii="仿宋" w:hAnsi="仿宋" w:eastAsia="仿宋"/>
          <w:sz w:val="24"/>
          <w:szCs w:val="24"/>
        </w:rPr>
        <w:t>日</w:t>
      </w:r>
      <w:r>
        <w:rPr>
          <w:rFonts w:hint="eastAsia" w:ascii="仿宋" w:hAnsi="仿宋" w:eastAsia="仿宋"/>
          <w:sz w:val="24"/>
          <w:szCs w:val="24"/>
        </w:rPr>
        <w:t>。</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（三）报名及磋商文件发售</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1.报名和磋商文件发售期：</w:t>
      </w:r>
      <w:r>
        <w:rPr>
          <w:rFonts w:ascii="仿宋" w:hAnsi="仿宋" w:eastAsia="仿宋"/>
          <w:sz w:val="24"/>
          <w:szCs w:val="24"/>
        </w:rPr>
        <w:t>20</w:t>
      </w:r>
      <w:r>
        <w:rPr>
          <w:rFonts w:hint="eastAsia" w:ascii="仿宋" w:hAnsi="仿宋" w:eastAsia="仿宋"/>
          <w:sz w:val="24"/>
          <w:szCs w:val="24"/>
        </w:rPr>
        <w:t>20年9月1</w:t>
      </w:r>
      <w:r>
        <w:rPr>
          <w:rFonts w:hint="eastAsia" w:ascii="仿宋" w:hAnsi="仿宋" w:eastAsia="仿宋"/>
          <w:sz w:val="24"/>
          <w:szCs w:val="24"/>
          <w:lang w:val="en-US" w:eastAsia="zh-CN"/>
        </w:rPr>
        <w:t>4</w:t>
      </w:r>
      <w:r>
        <w:rPr>
          <w:rFonts w:hint="eastAsia" w:ascii="仿宋" w:hAnsi="仿宋" w:eastAsia="仿宋"/>
          <w:sz w:val="24"/>
          <w:szCs w:val="24"/>
        </w:rPr>
        <w:t>日-</w:t>
      </w:r>
      <w:r>
        <w:rPr>
          <w:rFonts w:ascii="仿宋" w:hAnsi="仿宋" w:eastAsia="仿宋"/>
          <w:sz w:val="24"/>
          <w:szCs w:val="24"/>
        </w:rPr>
        <w:t>20</w:t>
      </w:r>
      <w:r>
        <w:rPr>
          <w:rFonts w:hint="eastAsia" w:ascii="仿宋" w:hAnsi="仿宋" w:eastAsia="仿宋"/>
          <w:sz w:val="24"/>
          <w:szCs w:val="24"/>
        </w:rPr>
        <w:t>20年9月1</w:t>
      </w:r>
      <w:r>
        <w:rPr>
          <w:rFonts w:hint="eastAsia" w:ascii="仿宋" w:hAnsi="仿宋" w:eastAsia="仿宋"/>
          <w:sz w:val="24"/>
          <w:szCs w:val="24"/>
          <w:lang w:val="en-US" w:eastAsia="zh-CN"/>
        </w:rPr>
        <w:t>8</w:t>
      </w:r>
      <w:r>
        <w:rPr>
          <w:rFonts w:hint="eastAsia" w:ascii="仿宋" w:hAnsi="仿宋" w:eastAsia="仿宋"/>
          <w:sz w:val="24"/>
          <w:szCs w:val="24"/>
        </w:rPr>
        <w:t>日17:00（工作时间）</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 磋商文件售价：人民币300元/分包（售后不退）</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2.1磋商文件购买方式</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2.1.1汇款购买</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在磋商文件发售期内，供应商将磋商文件购买费用汇至以下账户内进行购买：</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户  名：重庆宏仁招标代理有限公司</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开户行：招商银行重庆分行较场口支行</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账  号：123907228910802</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2.1.2现金购买</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在磋商文件发售期内，供应商到重庆宏仁招标代理有限公司（地址：重庆市渝北区金星大厦13楼）登记并购买。</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3.报名方式：在报名和磋商文件发售期内购买了磋商文件的供应商，其报名才被接收。</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3.1非现场报名方式：</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将磋商文件汇款凭证（注明项目号）、《采购文件发售登记表》（加盖供应商公章）扫描后发送至3362377486@qq.com（邮箱）。</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3.2现场报名方式：</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现场报名地点：重庆宏仁招标代理有限公司（地址：重庆市渝北区金星大厦13楼），递交《采购文件发售登记表》（加盖供应商公章）并购买磋商文件。</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（四）供应商须满足以下二种要件，其响应文件才被接受：</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1、按时递交了响应文件；</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2、按时报名签到；</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（五）递交响应文件地点：重庆市殡葬事业管理中心会议室</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（六）响应文件递交开始时间：2020年9月2</w:t>
      </w:r>
      <w:r>
        <w:rPr>
          <w:rFonts w:hint="eastAsia" w:ascii="仿宋" w:hAnsi="仿宋" w:eastAsia="仿宋"/>
          <w:sz w:val="24"/>
          <w:szCs w:val="24"/>
          <w:lang w:val="en-US" w:eastAsia="zh-CN"/>
        </w:rPr>
        <w:t>2</w:t>
      </w:r>
      <w:r>
        <w:rPr>
          <w:rFonts w:hint="eastAsia" w:ascii="仿宋" w:hAnsi="仿宋" w:eastAsia="仿宋"/>
          <w:sz w:val="24"/>
          <w:szCs w:val="24"/>
        </w:rPr>
        <w:t>日北京时间09:30</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（七）响应文件递交截止时间：2020年9月2</w:t>
      </w:r>
      <w:r>
        <w:rPr>
          <w:rFonts w:hint="eastAsia" w:ascii="仿宋" w:hAnsi="仿宋" w:eastAsia="仿宋"/>
          <w:sz w:val="24"/>
          <w:szCs w:val="24"/>
          <w:lang w:val="en-US" w:eastAsia="zh-CN"/>
        </w:rPr>
        <w:t>2</w:t>
      </w:r>
      <w:r>
        <w:rPr>
          <w:rFonts w:hint="eastAsia" w:ascii="仿宋" w:hAnsi="仿宋" w:eastAsia="仿宋"/>
          <w:sz w:val="24"/>
          <w:szCs w:val="24"/>
        </w:rPr>
        <w:t>日北京时间10:00</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（八）响应文件开启时间：2020年9月2</w:t>
      </w:r>
      <w:r>
        <w:rPr>
          <w:rFonts w:hint="eastAsia" w:ascii="仿宋" w:hAnsi="仿宋" w:eastAsia="仿宋"/>
          <w:sz w:val="24"/>
          <w:szCs w:val="24"/>
          <w:lang w:val="en-US" w:eastAsia="zh-CN"/>
        </w:rPr>
        <w:t>2</w:t>
      </w:r>
      <w:r>
        <w:rPr>
          <w:rFonts w:hint="eastAsia" w:ascii="仿宋" w:hAnsi="仿宋" w:eastAsia="仿宋"/>
          <w:sz w:val="24"/>
          <w:szCs w:val="24"/>
        </w:rPr>
        <w:t>日北京时间10:00</w:t>
      </w:r>
    </w:p>
    <w:p>
      <w:pPr>
        <w:pStyle w:val="5"/>
        <w:spacing w:before="0" w:after="0" w:line="420" w:lineRule="exact"/>
        <w:rPr>
          <w:rFonts w:ascii="仿宋" w:hAnsi="仿宋" w:eastAsia="仿宋"/>
          <w:sz w:val="24"/>
          <w:szCs w:val="24"/>
        </w:rPr>
      </w:pPr>
      <w:bookmarkStart w:id="12" w:name="_Toc373860294"/>
      <w:bookmarkStart w:id="13" w:name="_Toc13592"/>
      <w:r>
        <w:rPr>
          <w:rFonts w:hint="eastAsia" w:ascii="仿宋" w:hAnsi="仿宋" w:eastAsia="仿宋"/>
          <w:sz w:val="24"/>
          <w:szCs w:val="24"/>
        </w:rPr>
        <w:t>五、磋商保证金</w:t>
      </w:r>
      <w:bookmarkEnd w:id="12"/>
      <w:bookmarkEnd w:id="13"/>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（一）保证金递交</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供应商须按本项目规定的磋商保证金金额进行缴纳（保证金金额详见本篇，一、竞争性磋商内容），由供应商从其基本账户将磋商保证金汇至以下账户，磋商保证金的到账截止时间为磋商当天北京时间</w:t>
      </w:r>
      <w:r>
        <w:rPr>
          <w:rFonts w:hint="eastAsia" w:ascii="仿宋" w:hAnsi="仿宋" w:eastAsia="仿宋"/>
          <w:sz w:val="24"/>
          <w:szCs w:val="24"/>
          <w:u w:val="single"/>
        </w:rPr>
        <w:t>09:00</w:t>
      </w:r>
      <w:r>
        <w:rPr>
          <w:rFonts w:hint="eastAsia" w:ascii="仿宋" w:hAnsi="仿宋" w:eastAsia="仿宋"/>
          <w:sz w:val="24"/>
          <w:szCs w:val="24"/>
        </w:rPr>
        <w:t>。</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户  名：重庆宏仁招标代理有限公司</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开户行：招商银行重庆分行较场口支行</w:t>
      </w:r>
    </w:p>
    <w:p>
      <w:pPr>
        <w:spacing w:line="420" w:lineRule="exact"/>
        <w:ind w:firstLine="480" w:firstLineChars="200"/>
        <w:rPr>
          <w:rFonts w:ascii="仿宋" w:hAnsi="仿宋" w:eastAsia="仿宋"/>
          <w:sz w:val="24"/>
          <w:szCs w:val="24"/>
        </w:rPr>
      </w:pPr>
      <w:r>
        <w:rPr>
          <w:rFonts w:hint="eastAsia" w:ascii="仿宋" w:hAnsi="仿宋" w:eastAsia="仿宋"/>
          <w:sz w:val="24"/>
          <w:szCs w:val="24"/>
        </w:rPr>
        <w:t>账  号：123907228910802</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1.各供应商在银行转账（电汇）时，须充分考虑银行转账（电汇）的时间差风险，如同城转账、异地转账或汇款、跨行转账或电汇的时间要求。</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（二）保证金退还方式</w:t>
      </w:r>
    </w:p>
    <w:p>
      <w:pPr>
        <w:snapToGrid w:val="0"/>
        <w:spacing w:line="420" w:lineRule="exact"/>
        <w:ind w:firstLine="480" w:firstLineChars="200"/>
        <w:rPr>
          <w:rFonts w:ascii="仿宋" w:hAnsi="仿宋" w:eastAsia="仿宋" w:cs="黑体"/>
          <w:sz w:val="24"/>
          <w:szCs w:val="24"/>
        </w:rPr>
      </w:pPr>
      <w:r>
        <w:rPr>
          <w:rFonts w:hint="eastAsia" w:ascii="仿宋" w:hAnsi="仿宋" w:eastAsia="仿宋"/>
          <w:sz w:val="24"/>
          <w:szCs w:val="24"/>
        </w:rPr>
        <w:t>1.未成交供应商的保证金，在成交通知书发放后，由采购代理机构</w:t>
      </w:r>
      <w:r>
        <w:rPr>
          <w:rFonts w:hint="eastAsia" w:ascii="仿宋" w:hAnsi="仿宋" w:eastAsia="仿宋" w:cs="黑体"/>
          <w:sz w:val="24"/>
          <w:szCs w:val="24"/>
        </w:rPr>
        <w:t>在五个工作日内按来款渠道直接退还。</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2.成交供应商的保证金，在成交供应商与采购人签订合同后，成交供应商把合同扫描件传给采购代理机构，采购代理机构</w:t>
      </w:r>
      <w:r>
        <w:rPr>
          <w:rFonts w:hint="eastAsia" w:ascii="仿宋" w:hAnsi="仿宋" w:eastAsia="仿宋" w:cs="黑体"/>
          <w:sz w:val="24"/>
          <w:szCs w:val="24"/>
        </w:rPr>
        <w:t>在五个工作日内按资金来款渠道直接退还。</w:t>
      </w:r>
    </w:p>
    <w:p>
      <w:pPr>
        <w:pStyle w:val="5"/>
        <w:spacing w:before="0" w:after="0" w:line="420" w:lineRule="exact"/>
        <w:rPr>
          <w:rFonts w:ascii="仿宋" w:hAnsi="仿宋" w:eastAsia="仿宋"/>
          <w:sz w:val="24"/>
          <w:szCs w:val="24"/>
        </w:rPr>
      </w:pPr>
      <w:bookmarkStart w:id="14" w:name="_Toc54"/>
      <w:r>
        <w:rPr>
          <w:rFonts w:hint="eastAsia" w:ascii="仿宋" w:hAnsi="仿宋" w:eastAsia="仿宋"/>
          <w:sz w:val="24"/>
          <w:szCs w:val="24"/>
        </w:rPr>
        <w:t>六、</w:t>
      </w:r>
      <w:bookmarkEnd w:id="9"/>
      <w:r>
        <w:rPr>
          <w:rFonts w:hint="eastAsia" w:ascii="仿宋" w:hAnsi="仿宋" w:eastAsia="仿宋"/>
          <w:sz w:val="24"/>
          <w:szCs w:val="24"/>
        </w:rPr>
        <w:t>其它有关规定</w:t>
      </w:r>
      <w:bookmarkEnd w:id="14"/>
    </w:p>
    <w:p>
      <w:pPr>
        <w:snapToGrid w:val="0"/>
        <w:spacing w:line="420" w:lineRule="exact"/>
        <w:ind w:firstLine="360" w:firstLineChars="150"/>
        <w:rPr>
          <w:rFonts w:ascii="仿宋" w:hAnsi="仿宋" w:eastAsia="仿宋"/>
          <w:sz w:val="24"/>
          <w:szCs w:val="24"/>
        </w:rPr>
      </w:pPr>
      <w:r>
        <w:rPr>
          <w:rFonts w:hint="eastAsia" w:ascii="仿宋" w:hAnsi="仿宋" w:eastAsia="仿宋"/>
          <w:sz w:val="24"/>
          <w:szCs w:val="24"/>
        </w:rPr>
        <w:t>（一）单位负责人为同一人或者存在直接控股、管理关系的不同供应商，不得参加同一合同项下的政府采购活动，否则均为无效响应。</w:t>
      </w:r>
    </w:p>
    <w:p>
      <w:pPr>
        <w:snapToGrid w:val="0"/>
        <w:spacing w:line="420" w:lineRule="exact"/>
        <w:ind w:firstLine="360" w:firstLineChars="150"/>
        <w:rPr>
          <w:rFonts w:ascii="仿宋" w:hAnsi="仿宋" w:eastAsia="仿宋"/>
          <w:sz w:val="24"/>
          <w:szCs w:val="24"/>
        </w:rPr>
      </w:pPr>
      <w:r>
        <w:rPr>
          <w:rFonts w:hint="eastAsia" w:ascii="仿宋" w:hAnsi="仿宋" w:eastAsia="仿宋"/>
          <w:sz w:val="24"/>
          <w:szCs w:val="24"/>
        </w:rPr>
        <w:t>（二）为采购项目提供整体设计、规范编制或者项目管理、监理、检测等服务的供应商，不得再</w:t>
      </w:r>
      <w:r>
        <w:rPr>
          <w:rFonts w:ascii="仿宋" w:hAnsi="仿宋" w:eastAsia="仿宋"/>
          <w:sz w:val="24"/>
          <w:szCs w:val="24"/>
        </w:rPr>
        <w:t>参加</w:t>
      </w:r>
      <w:r>
        <w:rPr>
          <w:rFonts w:hint="eastAsia" w:ascii="仿宋" w:hAnsi="仿宋" w:eastAsia="仿宋"/>
          <w:sz w:val="24"/>
          <w:szCs w:val="24"/>
        </w:rPr>
        <w:t>该采购</w:t>
      </w:r>
      <w:r>
        <w:rPr>
          <w:rFonts w:ascii="仿宋" w:hAnsi="仿宋" w:eastAsia="仿宋"/>
          <w:sz w:val="24"/>
          <w:szCs w:val="24"/>
        </w:rPr>
        <w:t>项目的</w:t>
      </w:r>
      <w:r>
        <w:rPr>
          <w:rFonts w:hint="eastAsia" w:ascii="仿宋" w:hAnsi="仿宋" w:eastAsia="仿宋"/>
          <w:sz w:val="24"/>
          <w:szCs w:val="24"/>
        </w:rPr>
        <w:t>其他</w:t>
      </w:r>
      <w:r>
        <w:rPr>
          <w:rFonts w:ascii="仿宋" w:hAnsi="仿宋" w:eastAsia="仿宋"/>
          <w:sz w:val="24"/>
          <w:szCs w:val="24"/>
        </w:rPr>
        <w:t>采购活动</w:t>
      </w:r>
      <w:r>
        <w:rPr>
          <w:rFonts w:hint="eastAsia" w:ascii="仿宋" w:hAnsi="仿宋" w:eastAsia="仿宋"/>
          <w:sz w:val="24"/>
          <w:szCs w:val="24"/>
        </w:rPr>
        <w:t>，否则均为无效响应。</w:t>
      </w:r>
    </w:p>
    <w:p>
      <w:pPr>
        <w:snapToGrid w:val="0"/>
        <w:spacing w:line="420" w:lineRule="exact"/>
        <w:ind w:firstLine="360" w:firstLineChars="150"/>
        <w:rPr>
          <w:rFonts w:ascii="仿宋" w:hAnsi="仿宋" w:eastAsia="仿宋"/>
          <w:sz w:val="24"/>
          <w:szCs w:val="24"/>
        </w:rPr>
      </w:pPr>
      <w:r>
        <w:rPr>
          <w:rFonts w:hint="eastAsia" w:ascii="仿宋" w:hAnsi="仿宋" w:eastAsia="仿宋"/>
          <w:sz w:val="24"/>
          <w:szCs w:val="24"/>
        </w:rPr>
        <w:t>（三）本项目的补遗文件（如果有）重庆市殡葬事业管理中心网站（http://mzj.cq.gov.cn/cqbzglzx/html/index.html）上发布，请各供应商注意下载或到采购代理机构领取；无论供应商下载或领取与否，均视同供应商已知晓本项目补遗文件（如果有）的内容。</w:t>
      </w:r>
    </w:p>
    <w:p>
      <w:pPr>
        <w:snapToGrid w:val="0"/>
        <w:spacing w:line="420" w:lineRule="exact"/>
        <w:ind w:firstLine="360" w:firstLineChars="150"/>
        <w:rPr>
          <w:rFonts w:ascii="仿宋" w:hAnsi="仿宋" w:eastAsia="仿宋"/>
          <w:sz w:val="24"/>
          <w:szCs w:val="24"/>
        </w:rPr>
      </w:pPr>
      <w:r>
        <w:rPr>
          <w:rFonts w:hint="eastAsia" w:ascii="仿宋" w:hAnsi="仿宋" w:eastAsia="仿宋"/>
          <w:sz w:val="24"/>
          <w:szCs w:val="24"/>
        </w:rPr>
        <w:t>（四）超过响应文件截止时间递交的响应文件，恕不接收。</w:t>
      </w:r>
    </w:p>
    <w:p>
      <w:pPr>
        <w:snapToGrid w:val="0"/>
        <w:spacing w:line="420" w:lineRule="exact"/>
        <w:rPr>
          <w:rFonts w:ascii="仿宋" w:hAnsi="仿宋" w:eastAsia="仿宋"/>
          <w:sz w:val="24"/>
          <w:szCs w:val="24"/>
        </w:rPr>
      </w:pPr>
      <w:r>
        <w:rPr>
          <w:rFonts w:hint="eastAsia" w:ascii="仿宋" w:hAnsi="仿宋" w:eastAsia="仿宋"/>
          <w:sz w:val="24"/>
          <w:szCs w:val="24"/>
        </w:rPr>
        <w:t xml:space="preserve">   （五）磋商费用：无论磋商结果如何，供应商参与本项目磋商的所有费用均应由供应商自行承担。</w:t>
      </w:r>
    </w:p>
    <w:p>
      <w:pPr>
        <w:pStyle w:val="2"/>
        <w:rPr>
          <w:rFonts w:eastAsia="仿宋"/>
        </w:rPr>
      </w:pPr>
      <w:r>
        <w:rPr>
          <w:rFonts w:hint="eastAsia" w:ascii="仿宋" w:hAnsi="仿宋" w:eastAsia="仿宋"/>
          <w:sz w:val="24"/>
          <w:szCs w:val="24"/>
        </w:rPr>
        <w:t xml:space="preserve">    （六）本项目不接受联合体参与投标。</w:t>
      </w:r>
    </w:p>
    <w:p>
      <w:pPr>
        <w:pStyle w:val="5"/>
        <w:spacing w:before="0" w:after="0" w:line="420" w:lineRule="exact"/>
        <w:rPr>
          <w:rFonts w:ascii="仿宋" w:hAnsi="仿宋" w:eastAsia="仿宋"/>
          <w:sz w:val="24"/>
          <w:szCs w:val="24"/>
        </w:rPr>
      </w:pPr>
      <w:bookmarkStart w:id="15" w:name="_Toc28964"/>
      <w:r>
        <w:rPr>
          <w:rFonts w:hint="eastAsia" w:ascii="仿宋" w:hAnsi="仿宋" w:eastAsia="仿宋"/>
          <w:sz w:val="24"/>
          <w:szCs w:val="24"/>
        </w:rPr>
        <w:t>七、联系方式</w:t>
      </w:r>
      <w:bookmarkEnd w:id="1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（一）采购人：重庆市殡葬事业管理中心</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联系人：王老师</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电  话：（023）</w:t>
      </w:r>
      <w:r>
        <w:rPr>
          <w:rFonts w:hint="eastAsia" w:ascii="宋体" w:hAnsi="宋体" w:cs="宋体"/>
          <w:sz w:val="24"/>
          <w:szCs w:val="24"/>
        </w:rPr>
        <w:t>88705827</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地  址：重庆市渝北区昆仑大道60号。</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（二）采购代理机构：重庆宏仁招标代理有限公司</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联系人： 王老师</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电  话：（023）63993330</w:t>
      </w:r>
    </w:p>
    <w:p>
      <w:pPr>
        <w:snapToGrid w:val="0"/>
        <w:spacing w:line="420" w:lineRule="exact"/>
        <w:ind w:firstLine="480" w:firstLineChars="200"/>
        <w:rPr>
          <w:rFonts w:ascii="仿宋" w:hAnsi="仿宋" w:eastAsia="仿宋"/>
          <w:sz w:val="24"/>
          <w:szCs w:val="24"/>
        </w:rPr>
      </w:pPr>
      <w:r>
        <w:rPr>
          <w:rFonts w:hint="eastAsia" w:ascii="仿宋" w:hAnsi="仿宋" w:eastAsia="仿宋"/>
          <w:sz w:val="24"/>
          <w:szCs w:val="24"/>
        </w:rPr>
        <w:t>地  址：重庆市渝北区金星大厦13楼。</w:t>
      </w:r>
    </w:p>
    <w:p>
      <w:pPr>
        <w:snapToGrid w:val="0"/>
        <w:spacing w:line="420" w:lineRule="exact"/>
        <w:ind w:firstLine="482" w:firstLineChars="200"/>
        <w:rPr>
          <w:rFonts w:ascii="仿宋" w:hAnsi="仿宋" w:eastAsia="仿宋"/>
          <w:b/>
          <w:sz w:val="24"/>
          <w:szCs w:val="24"/>
        </w:rPr>
      </w:pPr>
    </w:p>
    <w:p>
      <w:pPr>
        <w:ind w:firstLine="480" w:firstLineChars="200"/>
        <w:jc w:val="left"/>
        <w:rPr>
          <w:rFonts w:hAnsi="仿宋" w:eastAsia="仿宋"/>
          <w:sz w:val="24"/>
          <w:szCs w:val="24"/>
        </w:rPr>
      </w:pPr>
    </w:p>
    <w:p>
      <w:pPr>
        <w:snapToGrid w:val="0"/>
        <w:spacing w:line="420" w:lineRule="exact"/>
        <w:rPr>
          <w:rFonts w:eastAsia="仿宋"/>
          <w:sz w:val="24"/>
          <w:szCs w:val="24"/>
        </w:rPr>
      </w:pPr>
    </w:p>
    <w:p>
      <w:pPr>
        <w:pStyle w:val="2"/>
      </w:pPr>
    </w:p>
    <w:p>
      <w:pPr>
        <w:pStyle w:val="2"/>
      </w:pPr>
    </w:p>
    <w:p>
      <w:pPr>
        <w:pStyle w:val="2"/>
        <w:rPr>
          <w:rFonts w:eastAsia="仿宋"/>
          <w:sz w:val="24"/>
          <w:szCs w:val="24"/>
        </w:rPr>
      </w:pPr>
    </w:p>
    <w:p>
      <w:pPr>
        <w:pStyle w:val="2"/>
        <w:rPr>
          <w:rFonts w:eastAsia="仿宋"/>
          <w:sz w:val="24"/>
          <w:szCs w:val="24"/>
        </w:rPr>
      </w:pPr>
    </w:p>
    <w:p>
      <w:pPr>
        <w:pStyle w:val="2"/>
        <w:rPr>
          <w:rFonts w:eastAsia="仿宋"/>
          <w:sz w:val="24"/>
          <w:szCs w:val="24"/>
        </w:rPr>
      </w:pPr>
    </w:p>
    <w:p>
      <w:pPr>
        <w:ind w:firstLine="480" w:firstLineChars="200"/>
        <w:jc w:val="left"/>
        <w:rPr>
          <w:rFonts w:eastAsia="仿宋"/>
          <w:sz w:val="24"/>
          <w:szCs w:val="24"/>
        </w:rPr>
      </w:pPr>
      <w:r>
        <w:rPr>
          <w:rFonts w:hAnsi="仿宋" w:eastAsia="仿宋"/>
          <w:sz w:val="24"/>
          <w:szCs w:val="24"/>
        </w:rPr>
        <w:t>附件</w:t>
      </w:r>
      <w:r>
        <w:rPr>
          <w:rFonts w:eastAsia="仿宋"/>
          <w:sz w:val="24"/>
          <w:szCs w:val="24"/>
        </w:rPr>
        <w:t xml:space="preserve">1  </w:t>
      </w:r>
      <w:r>
        <w:rPr>
          <w:rFonts w:hAnsi="仿宋" w:eastAsia="仿宋"/>
          <w:sz w:val="24"/>
          <w:szCs w:val="24"/>
        </w:rPr>
        <w:t>采购文件发售登记表</w:t>
      </w:r>
    </w:p>
    <w:p>
      <w:pPr>
        <w:jc w:val="center"/>
        <w:rPr>
          <w:rFonts w:eastAsia="黑体"/>
          <w:b/>
          <w:bCs/>
          <w:sz w:val="44"/>
          <w:szCs w:val="44"/>
        </w:rPr>
      </w:pPr>
    </w:p>
    <w:p>
      <w:pPr>
        <w:jc w:val="center"/>
        <w:rPr>
          <w:rFonts w:eastAsia="黑体"/>
          <w:b/>
          <w:bCs/>
          <w:sz w:val="44"/>
          <w:szCs w:val="44"/>
        </w:rPr>
      </w:pPr>
      <w:r>
        <w:rPr>
          <w:rFonts w:eastAsia="黑体"/>
          <w:b/>
          <w:bCs/>
          <w:sz w:val="44"/>
          <w:szCs w:val="44"/>
        </w:rPr>
        <w:t>采购文件发售登记表</w:t>
      </w:r>
    </w:p>
    <w:p>
      <w:pPr>
        <w:jc w:val="left"/>
        <w:rPr>
          <w:rFonts w:eastAsia="黑体"/>
          <w:b/>
          <w:bCs/>
          <w:spacing w:val="40"/>
        </w:rPr>
      </w:pPr>
    </w:p>
    <w:p>
      <w:pPr>
        <w:jc w:val="left"/>
        <w:rPr>
          <w:rFonts w:eastAsia="黑体"/>
          <w:b/>
          <w:bCs/>
          <w:spacing w:val="40"/>
        </w:rPr>
      </w:pPr>
    </w:p>
    <w:tbl>
      <w:tblPr>
        <w:tblStyle w:val="5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345"/>
        <w:gridCol w:w="1021"/>
        <w:gridCol w:w="38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1604" w:hRule="atLeast"/>
        </w:trPr>
        <w:tc>
          <w:tcPr>
            <w:tcW w:w="1871" w:type="dxa"/>
            <w:vAlign w:val="center"/>
          </w:tcPr>
          <w:p>
            <w:pPr>
              <w:jc w:val="center"/>
              <w:rPr>
                <w:rFonts w:eastAsia="仿宋"/>
                <w:sz w:val="36"/>
                <w:szCs w:val="30"/>
              </w:rPr>
            </w:pPr>
            <w:r>
              <w:rPr>
                <w:rFonts w:hAnsi="仿宋" w:eastAsia="仿宋"/>
                <w:sz w:val="36"/>
                <w:szCs w:val="30"/>
              </w:rPr>
              <w:t>项目号</w:t>
            </w:r>
            <w:r>
              <w:rPr>
                <w:rFonts w:eastAsia="仿宋"/>
                <w:sz w:val="36"/>
                <w:szCs w:val="30"/>
              </w:rPr>
              <w:t>/</w:t>
            </w:r>
            <w:r>
              <w:rPr>
                <w:rFonts w:hAnsi="仿宋" w:eastAsia="仿宋"/>
                <w:sz w:val="36"/>
                <w:szCs w:val="30"/>
              </w:rPr>
              <w:t>项目名称</w:t>
            </w:r>
          </w:p>
        </w:tc>
        <w:tc>
          <w:tcPr>
            <w:tcW w:w="7224" w:type="dxa"/>
            <w:gridSpan w:val="3"/>
            <w:vAlign w:val="center"/>
          </w:tcPr>
          <w:p>
            <w:pPr>
              <w:widowControl/>
              <w:spacing w:line="420" w:lineRule="exact"/>
              <w:rPr>
                <w:rFonts w:eastAsia="仿宋"/>
                <w:sz w:val="36"/>
                <w:szCs w:val="30"/>
              </w:rPr>
            </w:pPr>
            <w:r>
              <w:rPr>
                <w:rFonts w:hint="eastAsia" w:eastAsia="仿宋"/>
                <w:sz w:val="36"/>
                <w:szCs w:val="30"/>
              </w:rPr>
              <w:t>HRZ20C055</w:t>
            </w:r>
          </w:p>
          <w:p>
            <w:pPr>
              <w:widowControl/>
              <w:spacing w:line="420" w:lineRule="exact"/>
              <w:rPr>
                <w:rFonts w:eastAsia="仿宋"/>
                <w:sz w:val="36"/>
                <w:szCs w:val="30"/>
              </w:rPr>
            </w:pPr>
            <w:r>
              <w:rPr>
                <w:rFonts w:hint="eastAsia" w:ascii="仿宋" w:hAnsi="仿宋" w:eastAsia="仿宋"/>
                <w:sz w:val="36"/>
                <w:szCs w:val="24"/>
              </w:rPr>
              <w:t>《殡葬服务标志和设置规范》宣贯试点---垫江殡仪馆应用项目制作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871" w:type="dxa"/>
            <w:vAlign w:val="center"/>
          </w:tcPr>
          <w:p>
            <w:pPr>
              <w:jc w:val="center"/>
              <w:rPr>
                <w:sz w:val="30"/>
                <w:szCs w:val="30"/>
              </w:rPr>
            </w:pPr>
            <w:r>
              <w:rPr>
                <w:sz w:val="30"/>
                <w:szCs w:val="30"/>
              </w:rPr>
              <w:t>投标人名称</w:t>
            </w:r>
          </w:p>
        </w:tc>
        <w:tc>
          <w:tcPr>
            <w:tcW w:w="7224" w:type="dxa"/>
            <w:gridSpan w:val="3"/>
            <w:vAlign w:val="bottom"/>
          </w:tcPr>
          <w:p>
            <w:pPr>
              <w:jc w:val="right"/>
              <w:rPr>
                <w:sz w:val="30"/>
                <w:szCs w:val="30"/>
              </w:rPr>
            </w:pPr>
          </w:p>
          <w:p>
            <w:pPr>
              <w:jc w:val="right"/>
              <w:rPr>
                <w:sz w:val="30"/>
                <w:szCs w:val="30"/>
              </w:rPr>
            </w:pPr>
          </w:p>
          <w:p>
            <w:pPr>
              <w:jc w:val="right"/>
              <w:rPr>
                <w:sz w:val="30"/>
                <w:szCs w:val="30"/>
              </w:rPr>
            </w:pPr>
            <w:r>
              <w:rPr>
                <w:sz w:val="30"/>
                <w:szCs w:val="30"/>
              </w:rPr>
              <w:t>（投标人公章）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71" w:type="dxa"/>
            <w:vAlign w:val="center"/>
          </w:tcPr>
          <w:p>
            <w:pPr>
              <w:jc w:val="center"/>
              <w:rPr>
                <w:sz w:val="30"/>
                <w:szCs w:val="30"/>
              </w:rPr>
            </w:pPr>
            <w:r>
              <w:rPr>
                <w:sz w:val="30"/>
                <w:szCs w:val="30"/>
              </w:rPr>
              <w:t>联系人</w:t>
            </w:r>
          </w:p>
        </w:tc>
        <w:tc>
          <w:tcPr>
            <w:tcW w:w="2345" w:type="dxa"/>
            <w:vAlign w:val="center"/>
          </w:tcPr>
          <w:p>
            <w:pPr>
              <w:jc w:val="left"/>
              <w:rPr>
                <w:sz w:val="30"/>
                <w:szCs w:val="30"/>
              </w:rPr>
            </w:pPr>
          </w:p>
        </w:tc>
        <w:tc>
          <w:tcPr>
            <w:tcW w:w="1021" w:type="dxa"/>
            <w:vAlign w:val="center"/>
          </w:tcPr>
          <w:p>
            <w:pPr>
              <w:jc w:val="left"/>
              <w:rPr>
                <w:sz w:val="30"/>
                <w:szCs w:val="30"/>
              </w:rPr>
            </w:pPr>
            <w:r>
              <w:rPr>
                <w:sz w:val="30"/>
                <w:szCs w:val="30"/>
              </w:rPr>
              <w:t>手机</w:t>
            </w:r>
          </w:p>
        </w:tc>
        <w:tc>
          <w:tcPr>
            <w:tcW w:w="3858" w:type="dxa"/>
            <w:vAlign w:val="center"/>
          </w:tcPr>
          <w:p>
            <w:pPr>
              <w:jc w:val="left"/>
              <w:rPr>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71" w:type="dxa"/>
            <w:vAlign w:val="center"/>
          </w:tcPr>
          <w:p>
            <w:pPr>
              <w:jc w:val="center"/>
              <w:rPr>
                <w:sz w:val="30"/>
                <w:szCs w:val="30"/>
              </w:rPr>
            </w:pPr>
            <w:r>
              <w:rPr>
                <w:sz w:val="30"/>
                <w:szCs w:val="30"/>
              </w:rPr>
              <w:t>办公电话</w:t>
            </w:r>
          </w:p>
        </w:tc>
        <w:tc>
          <w:tcPr>
            <w:tcW w:w="2345" w:type="dxa"/>
            <w:vAlign w:val="center"/>
          </w:tcPr>
          <w:p>
            <w:pPr>
              <w:jc w:val="left"/>
              <w:rPr>
                <w:sz w:val="30"/>
                <w:szCs w:val="30"/>
              </w:rPr>
            </w:pPr>
          </w:p>
        </w:tc>
        <w:tc>
          <w:tcPr>
            <w:tcW w:w="1021" w:type="dxa"/>
            <w:vAlign w:val="center"/>
          </w:tcPr>
          <w:p>
            <w:pPr>
              <w:jc w:val="left"/>
              <w:rPr>
                <w:sz w:val="30"/>
                <w:szCs w:val="30"/>
              </w:rPr>
            </w:pPr>
            <w:r>
              <w:rPr>
                <w:sz w:val="30"/>
                <w:szCs w:val="30"/>
              </w:rPr>
              <w:t>传真</w:t>
            </w:r>
          </w:p>
        </w:tc>
        <w:tc>
          <w:tcPr>
            <w:tcW w:w="3858" w:type="dxa"/>
            <w:vAlign w:val="center"/>
          </w:tcPr>
          <w:p>
            <w:pPr>
              <w:jc w:val="left"/>
              <w:rPr>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71" w:type="dxa"/>
            <w:vAlign w:val="center"/>
          </w:tcPr>
          <w:p>
            <w:pPr>
              <w:jc w:val="center"/>
              <w:rPr>
                <w:sz w:val="30"/>
                <w:szCs w:val="30"/>
              </w:rPr>
            </w:pPr>
            <w:r>
              <w:rPr>
                <w:sz w:val="30"/>
                <w:szCs w:val="30"/>
              </w:rPr>
              <w:t>E-mail</w:t>
            </w:r>
          </w:p>
        </w:tc>
        <w:tc>
          <w:tcPr>
            <w:tcW w:w="7224" w:type="dxa"/>
            <w:gridSpan w:val="3"/>
            <w:vAlign w:val="center"/>
          </w:tcPr>
          <w:p>
            <w:pPr>
              <w:jc w:val="left"/>
              <w:rPr>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71" w:type="dxa"/>
            <w:vAlign w:val="center"/>
          </w:tcPr>
          <w:p>
            <w:pPr>
              <w:jc w:val="center"/>
              <w:rPr>
                <w:sz w:val="30"/>
                <w:szCs w:val="30"/>
              </w:rPr>
            </w:pPr>
            <w:r>
              <w:rPr>
                <w:sz w:val="30"/>
                <w:szCs w:val="30"/>
              </w:rPr>
              <w:t>单位地址</w:t>
            </w:r>
          </w:p>
        </w:tc>
        <w:tc>
          <w:tcPr>
            <w:tcW w:w="7224" w:type="dxa"/>
            <w:gridSpan w:val="3"/>
            <w:vAlign w:val="center"/>
          </w:tcPr>
          <w:p>
            <w:pPr>
              <w:jc w:val="left"/>
              <w:rPr>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95" w:type="dxa"/>
            <w:gridSpan w:val="4"/>
            <w:vAlign w:val="center"/>
          </w:tcPr>
          <w:p>
            <w:pPr>
              <w:jc w:val="left"/>
              <w:rPr>
                <w:sz w:val="30"/>
                <w:szCs w:val="30"/>
              </w:rPr>
            </w:pPr>
            <w:r>
              <w:rPr>
                <w:rFonts w:hAnsi="宋体"/>
                <w:sz w:val="30"/>
                <w:szCs w:val="30"/>
              </w:rPr>
              <w:t>购分包号为</w:t>
            </w:r>
            <w:r>
              <w:rPr>
                <w:sz w:val="30"/>
                <w:szCs w:val="30"/>
                <w:u w:val="single"/>
              </w:rPr>
              <w:t xml:space="preserve"> 1 </w:t>
            </w:r>
            <w:r>
              <w:rPr>
                <w:rFonts w:hAnsi="宋体"/>
                <w:sz w:val="30"/>
                <w:szCs w:val="30"/>
              </w:rPr>
              <w:t>的标书，共计</w:t>
            </w:r>
            <w:r>
              <w:rPr>
                <w:sz w:val="30"/>
                <w:szCs w:val="30"/>
                <w:u w:val="single"/>
              </w:rPr>
              <w:t xml:space="preserve"> 300 </w:t>
            </w:r>
            <w:r>
              <w:rPr>
                <w:rFonts w:hAnsi="宋体"/>
                <w:sz w:val="30"/>
                <w:szCs w:val="30"/>
              </w:rPr>
              <w:t>元</w:t>
            </w:r>
            <w:r>
              <w:rPr>
                <w:sz w:val="30"/>
                <w:szCs w:val="30"/>
              </w:rPr>
              <w:t>,</w:t>
            </w:r>
            <w:r>
              <w:rPr>
                <w:rFonts w:hAnsi="宋体"/>
                <w:sz w:val="30"/>
                <w:szCs w:val="30"/>
              </w:rPr>
              <w:t>个人汇款姓名</w:t>
            </w:r>
            <w:r>
              <w:rPr>
                <w:sz w:val="36"/>
                <w:szCs w:val="36"/>
                <w:u w:val="single"/>
              </w:rPr>
              <w:t xml:space="preserve">        </w:t>
            </w:r>
          </w:p>
        </w:tc>
      </w:tr>
    </w:tbl>
    <w:p>
      <w:pPr>
        <w:rPr>
          <w:sz w:val="24"/>
        </w:rPr>
      </w:pPr>
      <w:r>
        <w:rPr>
          <w:rFonts w:hAnsi="宋体"/>
          <w:sz w:val="24"/>
        </w:rPr>
        <w:t>标书金额：</w:t>
      </w:r>
      <w:r>
        <w:rPr>
          <w:sz w:val="24"/>
          <w:u w:val="single"/>
        </w:rPr>
        <w:t>300</w:t>
      </w:r>
      <w:r>
        <w:rPr>
          <w:rFonts w:hAnsi="宋体"/>
          <w:sz w:val="24"/>
        </w:rPr>
        <w:t>元</w:t>
      </w:r>
      <w:r>
        <w:rPr>
          <w:sz w:val="24"/>
        </w:rPr>
        <w:t>/</w:t>
      </w:r>
      <w:r>
        <w:rPr>
          <w:rFonts w:hAnsi="宋体"/>
          <w:sz w:val="24"/>
        </w:rPr>
        <w:t>分包</w:t>
      </w:r>
      <w:r>
        <w:rPr>
          <w:sz w:val="24"/>
        </w:rPr>
        <w:t xml:space="preserve">  </w:t>
      </w:r>
      <w:r>
        <w:rPr>
          <w:rFonts w:hAnsi="宋体"/>
          <w:sz w:val="24"/>
        </w:rPr>
        <w:t>发售人：重庆</w:t>
      </w:r>
      <w:r>
        <w:rPr>
          <w:rFonts w:hint="eastAsia" w:hAnsi="宋体"/>
          <w:sz w:val="24"/>
        </w:rPr>
        <w:t>宏仁</w:t>
      </w:r>
      <w:r>
        <w:rPr>
          <w:rFonts w:hAnsi="宋体"/>
          <w:sz w:val="24"/>
        </w:rPr>
        <w:t>招标代理有限公司</w:t>
      </w:r>
      <w:r>
        <w:rPr>
          <w:sz w:val="24"/>
        </w:rPr>
        <w:t xml:space="preserve">  </w:t>
      </w:r>
      <w:r>
        <w:rPr>
          <w:rFonts w:hAnsi="宋体"/>
          <w:sz w:val="24"/>
        </w:rPr>
        <w:t>日期：</w:t>
      </w:r>
    </w:p>
    <w:p>
      <w:pPr>
        <w:rPr>
          <w:sz w:val="24"/>
        </w:rPr>
      </w:pPr>
      <w:r>
        <w:rPr>
          <w:rFonts w:hAnsi="宋体"/>
          <w:sz w:val="24"/>
        </w:rPr>
        <w:t>说明：</w:t>
      </w:r>
    </w:p>
    <w:p>
      <w:pPr>
        <w:numPr>
          <w:ilvl w:val="0"/>
          <w:numId w:val="12"/>
        </w:numPr>
        <w:rPr>
          <w:sz w:val="24"/>
        </w:rPr>
      </w:pPr>
      <w:r>
        <w:rPr>
          <w:rFonts w:hAnsi="宋体"/>
          <w:sz w:val="24"/>
        </w:rPr>
        <w:t>现金购买招标文件的投标人，在缴纳购买招标文件费用后，请及时将《采购文件发售登记表》加盖公章递交至</w:t>
      </w:r>
      <w:r>
        <w:rPr>
          <w:rFonts w:hint="eastAsia" w:hAnsi="宋体"/>
          <w:sz w:val="24"/>
        </w:rPr>
        <w:t>重庆市渝北区金星科技大厦13楼</w:t>
      </w:r>
      <w:r>
        <w:rPr>
          <w:rFonts w:hAnsi="宋体"/>
          <w:sz w:val="24"/>
        </w:rPr>
        <w:t>。</w:t>
      </w:r>
    </w:p>
    <w:p>
      <w:pPr>
        <w:numPr>
          <w:ilvl w:val="0"/>
          <w:numId w:val="12"/>
        </w:numPr>
        <w:rPr>
          <w:sz w:val="24"/>
        </w:rPr>
      </w:pPr>
      <w:r>
        <w:rPr>
          <w:rFonts w:hAnsi="宋体"/>
          <w:sz w:val="24"/>
        </w:rPr>
        <w:t>报名和招标文件发售期：</w:t>
      </w:r>
      <w:r>
        <w:rPr>
          <w:rFonts w:ascii="仿宋" w:hAnsi="仿宋" w:eastAsia="仿宋"/>
          <w:sz w:val="24"/>
          <w:szCs w:val="24"/>
        </w:rPr>
        <w:t>20</w:t>
      </w:r>
      <w:r>
        <w:rPr>
          <w:rFonts w:hint="eastAsia" w:ascii="仿宋" w:hAnsi="仿宋" w:eastAsia="仿宋"/>
          <w:sz w:val="24"/>
          <w:szCs w:val="24"/>
        </w:rPr>
        <w:t>20年9月1</w:t>
      </w:r>
      <w:r>
        <w:rPr>
          <w:rFonts w:hint="eastAsia" w:ascii="仿宋" w:hAnsi="仿宋" w:eastAsia="仿宋"/>
          <w:sz w:val="24"/>
          <w:szCs w:val="24"/>
          <w:lang w:val="en-US" w:eastAsia="zh-CN"/>
        </w:rPr>
        <w:t>4</w:t>
      </w:r>
      <w:r>
        <w:rPr>
          <w:rFonts w:hint="eastAsia" w:ascii="仿宋" w:hAnsi="仿宋" w:eastAsia="仿宋"/>
          <w:sz w:val="24"/>
          <w:szCs w:val="24"/>
        </w:rPr>
        <w:t>日-</w:t>
      </w:r>
      <w:r>
        <w:rPr>
          <w:rFonts w:ascii="仿宋" w:hAnsi="仿宋" w:eastAsia="仿宋"/>
          <w:sz w:val="24"/>
          <w:szCs w:val="24"/>
        </w:rPr>
        <w:t>20</w:t>
      </w:r>
      <w:r>
        <w:rPr>
          <w:rFonts w:hint="eastAsia" w:ascii="仿宋" w:hAnsi="仿宋" w:eastAsia="仿宋"/>
          <w:sz w:val="24"/>
          <w:szCs w:val="24"/>
        </w:rPr>
        <w:t>20年9月1</w:t>
      </w:r>
      <w:r>
        <w:rPr>
          <w:rFonts w:hint="eastAsia" w:ascii="仿宋" w:hAnsi="仿宋" w:eastAsia="仿宋"/>
          <w:sz w:val="24"/>
          <w:szCs w:val="24"/>
          <w:lang w:val="en-US" w:eastAsia="zh-CN"/>
        </w:rPr>
        <w:t>8</w:t>
      </w:r>
      <w:r>
        <w:rPr>
          <w:rFonts w:hint="eastAsia" w:ascii="仿宋" w:hAnsi="仿宋" w:eastAsia="仿宋"/>
          <w:sz w:val="24"/>
          <w:szCs w:val="24"/>
        </w:rPr>
        <w:t>日17:00</w:t>
      </w:r>
      <w:r>
        <w:rPr>
          <w:rFonts w:hAnsi="宋体"/>
          <w:sz w:val="24"/>
        </w:rPr>
        <w:t>（工作时间）</w:t>
      </w:r>
    </w:p>
    <w:p>
      <w:pPr>
        <w:ind w:left="1200"/>
        <w:rPr>
          <w:sz w:val="24"/>
        </w:rPr>
      </w:pPr>
      <w:r>
        <w:rPr>
          <w:rFonts w:hAnsi="宋体"/>
          <w:sz w:val="24"/>
        </w:rPr>
        <w:t>联系人：</w:t>
      </w:r>
      <w:r>
        <w:rPr>
          <w:rFonts w:hint="eastAsia" w:hAnsi="宋体"/>
          <w:sz w:val="24"/>
          <w:u w:val="single"/>
        </w:rPr>
        <w:t>王老师</w:t>
      </w:r>
      <w:r>
        <w:rPr>
          <w:sz w:val="24"/>
        </w:rPr>
        <w:t xml:space="preserve"> </w:t>
      </w:r>
      <w:r>
        <w:rPr>
          <w:rFonts w:hAnsi="宋体"/>
          <w:sz w:val="24"/>
        </w:rPr>
        <w:t>电话：</w:t>
      </w:r>
      <w:r>
        <w:rPr>
          <w:rFonts w:hint="eastAsia"/>
          <w:sz w:val="24"/>
        </w:rPr>
        <w:t>63993330</w:t>
      </w:r>
      <w:r>
        <w:rPr>
          <w:sz w:val="24"/>
        </w:rPr>
        <w:t xml:space="preserve">  </w:t>
      </w:r>
      <w:r>
        <w:rPr>
          <w:rFonts w:hAnsi="宋体"/>
          <w:sz w:val="24"/>
        </w:rPr>
        <w:t>邮箱：</w:t>
      </w:r>
      <w:r>
        <w:rPr>
          <w:rFonts w:hint="eastAsia" w:eastAsia="仿宋"/>
          <w:sz w:val="24"/>
        </w:rPr>
        <w:t>3362377486</w:t>
      </w:r>
      <w:r>
        <w:rPr>
          <w:rFonts w:eastAsia="仿宋"/>
          <w:sz w:val="24"/>
        </w:rPr>
        <w:t>@qq.com</w:t>
      </w:r>
    </w:p>
    <w:p>
      <w:pPr>
        <w:pStyle w:val="2"/>
        <w:sectPr>
          <w:pgSz w:w="11907" w:h="16840"/>
          <w:pgMar w:top="1134" w:right="1418" w:bottom="1134" w:left="1418" w:header="964" w:footer="992" w:gutter="0"/>
          <w:pgNumType w:fmt="numberInDash"/>
          <w:cols w:space="720" w:num="1"/>
          <w:docGrid w:linePitch="312" w:charSpace="0"/>
        </w:sectPr>
      </w:pPr>
      <w:bookmarkStart w:id="114" w:name="_GoBack"/>
      <w:bookmarkEnd w:id="114"/>
    </w:p>
    <w:p>
      <w:pPr>
        <w:pStyle w:val="4"/>
        <w:numPr>
          <w:ilvl w:val="0"/>
          <w:numId w:val="13"/>
        </w:numPr>
        <w:spacing w:before="0" w:after="0" w:line="360" w:lineRule="auto"/>
        <w:jc w:val="center"/>
        <w:rPr>
          <w:rFonts w:ascii="仿宋" w:hAnsi="仿宋" w:eastAsia="仿宋"/>
          <w:b w:val="0"/>
          <w:sz w:val="36"/>
          <w:szCs w:val="30"/>
        </w:rPr>
      </w:pPr>
      <w:r>
        <w:rPr>
          <w:rFonts w:hint="eastAsia" w:ascii="仿宋" w:hAnsi="仿宋" w:eastAsia="仿宋"/>
          <w:b w:val="0"/>
          <w:sz w:val="36"/>
          <w:szCs w:val="30"/>
        </w:rPr>
        <w:t xml:space="preserve"> </w:t>
      </w:r>
      <w:bookmarkStart w:id="16" w:name="_Toc19636"/>
      <w:r>
        <w:rPr>
          <w:rFonts w:hint="eastAsia" w:ascii="仿宋" w:hAnsi="仿宋" w:eastAsia="仿宋"/>
          <w:b w:val="0"/>
          <w:sz w:val="36"/>
          <w:szCs w:val="30"/>
        </w:rPr>
        <w:t>采购服务需求</w:t>
      </w:r>
      <w:bookmarkEnd w:id="16"/>
      <w:bookmarkStart w:id="17" w:name="_Toc12789058"/>
    </w:p>
    <w:p>
      <w:pPr>
        <w:pStyle w:val="2"/>
        <w:rPr>
          <w:rFonts w:ascii="宋体" w:eastAsia="宋体" w:cs="宋体"/>
          <w:kern w:val="0"/>
          <w:sz w:val="20"/>
        </w:rPr>
      </w:pPr>
    </w:p>
    <w:p>
      <w:pPr>
        <w:widowControl/>
        <w:ind w:firstLine="482" w:firstLineChars="200"/>
        <w:jc w:val="left"/>
        <w:rPr>
          <w:rFonts w:ascii="仿宋" w:hAnsi="仿宋" w:eastAsia="仿宋"/>
          <w:b/>
          <w:sz w:val="24"/>
          <w:szCs w:val="24"/>
        </w:rPr>
      </w:pPr>
      <w:r>
        <w:rPr>
          <w:rFonts w:hint="eastAsia" w:ascii="仿宋" w:hAnsi="仿宋" w:eastAsia="仿宋"/>
          <w:b/>
          <w:sz w:val="24"/>
          <w:szCs w:val="24"/>
        </w:rPr>
        <w:t>一、采购需求</w:t>
      </w:r>
    </w:p>
    <w:tbl>
      <w:tblPr>
        <w:tblStyle w:val="57"/>
        <w:tblW w:w="9623" w:type="dxa"/>
        <w:tblInd w:w="0" w:type="dxa"/>
        <w:tblLayout w:type="autofit"/>
        <w:tblCellMar>
          <w:top w:w="0" w:type="dxa"/>
          <w:left w:w="0" w:type="dxa"/>
          <w:bottom w:w="0" w:type="dxa"/>
          <w:right w:w="0" w:type="dxa"/>
        </w:tblCellMar>
      </w:tblPr>
      <w:tblGrid>
        <w:gridCol w:w="578"/>
        <w:gridCol w:w="2060"/>
        <w:gridCol w:w="2035"/>
        <w:gridCol w:w="3960"/>
        <w:gridCol w:w="399"/>
        <w:gridCol w:w="591"/>
      </w:tblGrid>
      <w:tr>
        <w:tblPrEx>
          <w:tblCellMar>
            <w:top w:w="0" w:type="dxa"/>
            <w:left w:w="0" w:type="dxa"/>
            <w:bottom w:w="0" w:type="dxa"/>
            <w:right w:w="0" w:type="dxa"/>
          </w:tblCellMar>
        </w:tblPrEx>
        <w:trPr>
          <w:trHeight w:val="480" w:hRule="atLeast"/>
        </w:trPr>
        <w:tc>
          <w:tcPr>
            <w:tcW w:w="5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20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名称</w:t>
            </w:r>
          </w:p>
        </w:tc>
        <w:tc>
          <w:tcPr>
            <w:tcW w:w="203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规格尺寸（mm）</w:t>
            </w:r>
          </w:p>
        </w:tc>
        <w:tc>
          <w:tcPr>
            <w:tcW w:w="3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制作要求</w:t>
            </w:r>
          </w:p>
        </w:tc>
        <w:tc>
          <w:tcPr>
            <w:tcW w:w="39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单位</w:t>
            </w:r>
          </w:p>
        </w:tc>
        <w:tc>
          <w:tcPr>
            <w:tcW w:w="5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数量</w:t>
            </w:r>
          </w:p>
        </w:tc>
      </w:tr>
      <w:tr>
        <w:tblPrEx>
          <w:tblCellMar>
            <w:top w:w="0" w:type="dxa"/>
            <w:left w:w="0" w:type="dxa"/>
            <w:bottom w:w="0" w:type="dxa"/>
            <w:right w:w="0" w:type="dxa"/>
          </w:tblCellMar>
        </w:tblPrEx>
        <w:trPr>
          <w:trHeight w:val="55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《重庆市殡葬服务标志和设置规范应用示范手册》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color w:val="000000"/>
                <w:sz w:val="22"/>
                <w:szCs w:val="22"/>
              </w:rPr>
            </w:pP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根据重庆市地方标准DB50/T 906—2019——《殡葬服务标志和设置规范》对如下各类标志进行标准化设计和推广应用设计:</w:t>
            </w:r>
            <w:r>
              <w:rPr>
                <w:rFonts w:hint="eastAsia" w:ascii="宋体" w:hAnsi="宋体" w:cs="宋体"/>
                <w:color w:val="000000"/>
                <w:kern w:val="0"/>
                <w:sz w:val="20"/>
              </w:rPr>
              <w:br w:type="textWrapping"/>
            </w:r>
            <w:r>
              <w:rPr>
                <w:rFonts w:hint="eastAsia" w:ascii="宋体" w:hAnsi="宋体" w:cs="宋体"/>
                <w:color w:val="000000"/>
                <w:kern w:val="0"/>
                <w:sz w:val="20"/>
              </w:rPr>
              <w:t>一、5类殡葬服务机构标志</w:t>
            </w:r>
            <w:r>
              <w:rPr>
                <w:rFonts w:hint="eastAsia" w:ascii="宋体" w:hAnsi="宋体" w:cs="宋体"/>
                <w:color w:val="000000"/>
                <w:kern w:val="0"/>
                <w:sz w:val="20"/>
              </w:rPr>
              <w:br w:type="textWrapping"/>
            </w:r>
            <w:r>
              <w:rPr>
                <w:rFonts w:hint="eastAsia" w:ascii="宋体" w:hAnsi="宋体" w:cs="宋体"/>
                <w:color w:val="000000"/>
                <w:kern w:val="0"/>
                <w:sz w:val="20"/>
              </w:rPr>
              <w:t>1、殡仪馆</w:t>
            </w:r>
            <w:r>
              <w:rPr>
                <w:rFonts w:hint="eastAsia" w:ascii="宋体" w:hAnsi="宋体" w:cs="宋体"/>
                <w:color w:val="000000"/>
                <w:kern w:val="0"/>
                <w:sz w:val="20"/>
              </w:rPr>
              <w:br w:type="textWrapping"/>
            </w:r>
            <w:r>
              <w:rPr>
                <w:rFonts w:hint="eastAsia" w:ascii="宋体" w:hAnsi="宋体" w:cs="宋体"/>
                <w:color w:val="000000"/>
                <w:kern w:val="0"/>
                <w:sz w:val="20"/>
              </w:rPr>
              <w:t>2、殡仪服务站</w:t>
            </w:r>
            <w:r>
              <w:rPr>
                <w:rFonts w:hint="eastAsia" w:ascii="宋体" w:hAnsi="宋体" w:cs="宋体"/>
                <w:color w:val="000000"/>
                <w:kern w:val="0"/>
                <w:sz w:val="20"/>
              </w:rPr>
              <w:br w:type="textWrapping"/>
            </w:r>
            <w:r>
              <w:rPr>
                <w:rFonts w:hint="eastAsia" w:ascii="宋体" w:hAnsi="宋体" w:cs="宋体"/>
                <w:color w:val="000000"/>
                <w:kern w:val="0"/>
                <w:sz w:val="20"/>
              </w:rPr>
              <w:t>3、经营性公墓</w:t>
            </w:r>
            <w:r>
              <w:rPr>
                <w:rFonts w:hint="eastAsia" w:ascii="宋体" w:hAnsi="宋体" w:cs="宋体"/>
                <w:color w:val="000000"/>
                <w:kern w:val="0"/>
                <w:sz w:val="20"/>
              </w:rPr>
              <w:br w:type="textWrapping"/>
            </w:r>
            <w:r>
              <w:rPr>
                <w:rFonts w:hint="eastAsia" w:ascii="宋体" w:hAnsi="宋体" w:cs="宋体"/>
                <w:color w:val="000000"/>
                <w:kern w:val="0"/>
                <w:sz w:val="20"/>
              </w:rPr>
              <w:t>4、城市公益性公墓</w:t>
            </w:r>
            <w:r>
              <w:rPr>
                <w:rFonts w:hint="eastAsia" w:ascii="宋体" w:hAnsi="宋体" w:cs="宋体"/>
                <w:color w:val="000000"/>
                <w:kern w:val="0"/>
                <w:sz w:val="20"/>
              </w:rPr>
              <w:br w:type="textWrapping"/>
            </w:r>
            <w:r>
              <w:rPr>
                <w:rFonts w:hint="eastAsia" w:ascii="宋体" w:hAnsi="宋体" w:cs="宋体"/>
                <w:color w:val="000000"/>
                <w:kern w:val="0"/>
                <w:sz w:val="20"/>
              </w:rPr>
              <w:t>5、农村公益性公墓</w:t>
            </w:r>
            <w:r>
              <w:rPr>
                <w:rFonts w:hint="eastAsia" w:ascii="宋体" w:hAnsi="宋体" w:cs="宋体"/>
                <w:color w:val="000000"/>
                <w:kern w:val="0"/>
                <w:sz w:val="20"/>
              </w:rPr>
              <w:br w:type="textWrapping"/>
            </w:r>
            <w:r>
              <w:rPr>
                <w:rFonts w:hint="eastAsia" w:ascii="宋体" w:hAnsi="宋体" w:cs="宋体"/>
                <w:color w:val="000000"/>
                <w:kern w:val="0"/>
                <w:sz w:val="20"/>
              </w:rPr>
              <w:t>二、37种殡葬功能空间标志</w:t>
            </w:r>
            <w:r>
              <w:rPr>
                <w:rFonts w:hint="eastAsia" w:ascii="宋体" w:hAnsi="宋体" w:cs="宋体"/>
                <w:color w:val="000000"/>
                <w:kern w:val="0"/>
                <w:sz w:val="20"/>
              </w:rPr>
              <w:br w:type="textWrapping"/>
            </w:r>
            <w:r>
              <w:rPr>
                <w:rFonts w:hint="eastAsia" w:ascii="宋体" w:hAnsi="宋体" w:cs="宋体"/>
                <w:color w:val="000000"/>
                <w:kern w:val="0"/>
                <w:sz w:val="20"/>
              </w:rPr>
              <w:t>三、11种殡葬设施设备标志</w:t>
            </w:r>
            <w:r>
              <w:rPr>
                <w:rFonts w:hint="eastAsia" w:ascii="宋体" w:hAnsi="宋体" w:cs="宋体"/>
                <w:color w:val="000000"/>
                <w:kern w:val="0"/>
                <w:sz w:val="20"/>
              </w:rPr>
              <w:br w:type="textWrapping"/>
            </w:r>
            <w:r>
              <w:rPr>
                <w:rFonts w:hint="eastAsia" w:ascii="宋体" w:hAnsi="宋体" w:cs="宋体"/>
                <w:color w:val="000000"/>
                <w:kern w:val="0"/>
                <w:sz w:val="20"/>
              </w:rPr>
              <w:t>四、具体设计内容</w:t>
            </w:r>
            <w:r>
              <w:rPr>
                <w:rFonts w:hint="eastAsia" w:ascii="宋体" w:hAnsi="宋体" w:cs="宋体"/>
                <w:color w:val="000000"/>
                <w:kern w:val="0"/>
                <w:sz w:val="20"/>
              </w:rPr>
              <w:br w:type="textWrapping"/>
            </w:r>
            <w:r>
              <w:rPr>
                <w:rFonts w:hint="eastAsia" w:ascii="宋体" w:hAnsi="宋体" w:cs="宋体"/>
                <w:color w:val="000000"/>
                <w:kern w:val="0"/>
                <w:sz w:val="20"/>
              </w:rPr>
              <w:t>1、标志式样及标准制图</w:t>
            </w:r>
            <w:r>
              <w:rPr>
                <w:rFonts w:hint="eastAsia" w:ascii="宋体" w:hAnsi="宋体" w:cs="宋体"/>
                <w:color w:val="000000"/>
                <w:kern w:val="0"/>
                <w:sz w:val="20"/>
              </w:rPr>
              <w:br w:type="textWrapping"/>
            </w:r>
            <w:r>
              <w:rPr>
                <w:rFonts w:hint="eastAsia" w:ascii="宋体" w:hAnsi="宋体" w:cs="宋体"/>
                <w:color w:val="000000"/>
                <w:kern w:val="0"/>
                <w:sz w:val="20"/>
              </w:rPr>
              <w:t>2、标准字体</w:t>
            </w:r>
            <w:r>
              <w:rPr>
                <w:rFonts w:hint="eastAsia" w:ascii="宋体" w:hAnsi="宋体" w:cs="宋体"/>
                <w:color w:val="000000"/>
                <w:kern w:val="0"/>
                <w:sz w:val="20"/>
              </w:rPr>
              <w:br w:type="textWrapping"/>
            </w:r>
            <w:r>
              <w:rPr>
                <w:rFonts w:hint="eastAsia" w:ascii="宋体" w:hAnsi="宋体" w:cs="宋体"/>
                <w:color w:val="000000"/>
                <w:kern w:val="0"/>
                <w:sz w:val="20"/>
              </w:rPr>
              <w:t>3、标准色彩</w:t>
            </w:r>
            <w:r>
              <w:rPr>
                <w:rFonts w:hint="eastAsia" w:ascii="宋体" w:hAnsi="宋体" w:cs="宋体"/>
                <w:color w:val="000000"/>
                <w:kern w:val="0"/>
                <w:sz w:val="20"/>
              </w:rPr>
              <w:br w:type="textWrapping"/>
            </w:r>
            <w:r>
              <w:rPr>
                <w:rFonts w:hint="eastAsia" w:ascii="宋体" w:hAnsi="宋体" w:cs="宋体"/>
                <w:color w:val="000000"/>
                <w:kern w:val="0"/>
                <w:sz w:val="20"/>
              </w:rPr>
              <w:t>4、最小使用尺寸</w:t>
            </w:r>
            <w:r>
              <w:rPr>
                <w:rFonts w:hint="eastAsia" w:ascii="宋体" w:hAnsi="宋体" w:cs="宋体"/>
                <w:color w:val="000000"/>
                <w:kern w:val="0"/>
                <w:sz w:val="20"/>
              </w:rPr>
              <w:br w:type="textWrapping"/>
            </w:r>
            <w:r>
              <w:rPr>
                <w:rFonts w:hint="eastAsia" w:ascii="宋体" w:hAnsi="宋体" w:cs="宋体"/>
                <w:color w:val="000000"/>
                <w:kern w:val="0"/>
                <w:sz w:val="20"/>
              </w:rPr>
              <w:t>5、不可侵占空间</w:t>
            </w:r>
            <w:r>
              <w:rPr>
                <w:rFonts w:hint="eastAsia" w:ascii="宋体" w:hAnsi="宋体" w:cs="宋体"/>
                <w:color w:val="000000"/>
                <w:kern w:val="0"/>
                <w:sz w:val="20"/>
              </w:rPr>
              <w:br w:type="textWrapping"/>
            </w:r>
            <w:r>
              <w:rPr>
                <w:rFonts w:hint="eastAsia" w:ascii="宋体" w:hAnsi="宋体" w:cs="宋体"/>
                <w:color w:val="000000"/>
                <w:kern w:val="0"/>
                <w:sz w:val="20"/>
              </w:rPr>
              <w:t>6、各类标志与标准字体的横式与竖式组合原则</w:t>
            </w:r>
            <w:r>
              <w:rPr>
                <w:rFonts w:hint="eastAsia" w:ascii="宋体" w:hAnsi="宋体" w:cs="宋体"/>
                <w:color w:val="000000"/>
                <w:kern w:val="0"/>
                <w:sz w:val="20"/>
              </w:rPr>
              <w:br w:type="textWrapping"/>
            </w:r>
            <w:r>
              <w:rPr>
                <w:rFonts w:hint="eastAsia" w:ascii="宋体" w:hAnsi="宋体" w:cs="宋体"/>
                <w:color w:val="000000"/>
                <w:kern w:val="0"/>
                <w:sz w:val="20"/>
              </w:rPr>
              <w:t>7、各类标志与标准字体的横式与竖式组合应用规范</w:t>
            </w:r>
            <w:r>
              <w:rPr>
                <w:rFonts w:hint="eastAsia" w:ascii="宋体" w:hAnsi="宋体" w:cs="宋体"/>
                <w:color w:val="000000"/>
                <w:kern w:val="0"/>
                <w:sz w:val="20"/>
              </w:rPr>
              <w:br w:type="textWrapping"/>
            </w:r>
            <w:r>
              <w:rPr>
                <w:rFonts w:hint="eastAsia" w:ascii="宋体" w:hAnsi="宋体" w:cs="宋体"/>
                <w:color w:val="000000"/>
                <w:kern w:val="0"/>
                <w:sz w:val="20"/>
              </w:rPr>
              <w:t>8、禁止错误应用规范</w:t>
            </w:r>
            <w:r>
              <w:rPr>
                <w:rFonts w:hint="eastAsia" w:ascii="宋体" w:hAnsi="宋体" w:cs="宋体"/>
                <w:color w:val="000000"/>
                <w:kern w:val="0"/>
                <w:sz w:val="20"/>
              </w:rPr>
              <w:br w:type="textWrapping"/>
            </w:r>
            <w:r>
              <w:rPr>
                <w:rFonts w:hint="eastAsia" w:ascii="宋体" w:hAnsi="宋体" w:cs="宋体"/>
                <w:color w:val="000000"/>
                <w:kern w:val="0"/>
                <w:sz w:val="20"/>
              </w:rPr>
              <w:t>9、辅助图形（图案）与标志、标准字体组合应用规范</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124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户外大型指示牌(精神堡垒)</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5800mm×800mm×400mm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3.0镀锌钢板激光切割镂空刨槽折弯焊接立体成型，内置方通骨架，表面刮灰打磨2K氟碳烤漆，图文镂空内贴3mm乳白色亚克力灯片，内装LED灯源，埋地安装。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91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户外中型指示牌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3200mm×700mm×200mm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1.2镀锌板激光切割刨槽折弯焊接立体成型，内置方通骨架，表面刮灰打磨2K氟碳烤漆，图文丝网印刷，埋地安装。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4</w:t>
            </w:r>
          </w:p>
        </w:tc>
      </w:tr>
      <w:tr>
        <w:tblPrEx>
          <w:tblCellMar>
            <w:top w:w="0" w:type="dxa"/>
            <w:left w:w="0" w:type="dxa"/>
            <w:bottom w:w="0" w:type="dxa"/>
            <w:right w:w="0" w:type="dxa"/>
          </w:tblCellMar>
        </w:tblPrEx>
        <w:trPr>
          <w:trHeight w:val="106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户外小型指示牌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2800mm×600mm×100mm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1.2镀锌板激光切割刨槽折弯焊接立体成型，内置方通骨架，表面刮灰打磨2K氟碳烤漆，图文丝网印刷，埋地安装。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9</w:t>
            </w:r>
          </w:p>
        </w:tc>
      </w:tr>
      <w:tr>
        <w:tblPrEx>
          <w:tblCellMar>
            <w:top w:w="0" w:type="dxa"/>
            <w:left w:w="0" w:type="dxa"/>
            <w:bottom w:w="0" w:type="dxa"/>
            <w:right w:w="0" w:type="dxa"/>
          </w:tblCellMar>
        </w:tblPrEx>
        <w:trPr>
          <w:trHeight w:val="87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殡葬服务机构标志牌指示牌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500mm×900mm×20mm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1.0镀锌板激光切割刨槽折弯焊接成型，表面刮灰打磨2K氟碳烤漆，图文丝网印刷，挂墙安装。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5</w:t>
            </w:r>
          </w:p>
        </w:tc>
      </w:tr>
      <w:tr>
        <w:tblPrEx>
          <w:tblCellMar>
            <w:top w:w="0" w:type="dxa"/>
            <w:left w:w="0" w:type="dxa"/>
            <w:bottom w:w="0" w:type="dxa"/>
            <w:right w:w="0"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防撞条</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900mm×150mm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厚型透明玻璃贴</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条</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36</w:t>
            </w:r>
          </w:p>
        </w:tc>
      </w:tr>
      <w:tr>
        <w:tblPrEx>
          <w:tblCellMar>
            <w:top w:w="0" w:type="dxa"/>
            <w:left w:w="0" w:type="dxa"/>
            <w:bottom w:w="0" w:type="dxa"/>
            <w:right w:w="0" w:type="dxa"/>
          </w:tblCellMar>
        </w:tblPrEx>
        <w:trPr>
          <w:trHeight w:val="55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坐牌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400mm×150mm×150mm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压克力激光雕刻矩形</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个</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3</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电梯间楼层牌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200mm×240mm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9</w:t>
            </w:r>
          </w:p>
        </w:tc>
      </w:tr>
      <w:tr>
        <w:tblPrEx>
          <w:tblCellMar>
            <w:top w:w="0" w:type="dxa"/>
            <w:left w:w="0" w:type="dxa"/>
            <w:bottom w:w="0" w:type="dxa"/>
            <w:right w:w="0" w:type="dxa"/>
          </w:tblCellMar>
        </w:tblPrEx>
        <w:trPr>
          <w:trHeight w:val="88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电梯乘梯须知</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200mm×350mm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w:t>
            </w:r>
          </w:p>
        </w:tc>
      </w:tr>
      <w:tr>
        <w:tblPrEx>
          <w:tblCellMar>
            <w:top w:w="0" w:type="dxa"/>
            <w:left w:w="0" w:type="dxa"/>
            <w:bottom w:w="0" w:type="dxa"/>
            <w:right w:w="0" w:type="dxa"/>
          </w:tblCellMar>
        </w:tblPrEx>
        <w:trPr>
          <w:trHeight w:val="94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楼梯间楼层牌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250mm×300mm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23</w:t>
            </w:r>
          </w:p>
        </w:tc>
      </w:tr>
      <w:tr>
        <w:tblPrEx>
          <w:tblCellMar>
            <w:top w:w="0" w:type="dxa"/>
            <w:left w:w="0" w:type="dxa"/>
            <w:bottom w:w="0" w:type="dxa"/>
            <w:right w:w="0" w:type="dxa"/>
          </w:tblCellMar>
        </w:tblPrEx>
        <w:trPr>
          <w:trHeight w:val="100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遗体运送专用电梯提示</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150mm×225mm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3</w:t>
            </w:r>
          </w:p>
        </w:tc>
      </w:tr>
      <w:tr>
        <w:tblPrEx>
          <w:tblCellMar>
            <w:top w:w="0" w:type="dxa"/>
            <w:left w:w="0" w:type="dxa"/>
            <w:bottom w:w="0" w:type="dxa"/>
            <w:right w:w="0" w:type="dxa"/>
          </w:tblCellMar>
        </w:tblPrEx>
        <w:trPr>
          <w:trHeight w:val="108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遗体运送专用电梯电梯门警示图标</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100mm×500mm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厚型透明玻璃贴</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条</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6</w:t>
            </w:r>
          </w:p>
        </w:tc>
      </w:tr>
      <w:tr>
        <w:tblPrEx>
          <w:tblCellMar>
            <w:top w:w="0" w:type="dxa"/>
            <w:left w:w="0" w:type="dxa"/>
            <w:bottom w:w="0" w:type="dxa"/>
            <w:right w:w="0" w:type="dxa"/>
          </w:tblCellMar>
        </w:tblPrEx>
        <w:trPr>
          <w:trHeight w:val="76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步梯门门牌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1000mm×400mm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13</w:t>
            </w:r>
          </w:p>
        </w:tc>
      </w:tr>
      <w:tr>
        <w:tblPrEx>
          <w:tblCellMar>
            <w:top w:w="0" w:type="dxa"/>
            <w:left w:w="0" w:type="dxa"/>
            <w:bottom w:w="0" w:type="dxa"/>
            <w:right w:w="0" w:type="dxa"/>
          </w:tblCellMar>
        </w:tblPrEx>
        <w:trPr>
          <w:trHeight w:val="58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治丧守灵厅正大门门牌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1000mm×400mm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12</w:t>
            </w:r>
          </w:p>
        </w:tc>
      </w:tr>
      <w:tr>
        <w:tblPrEx>
          <w:tblCellMar>
            <w:top w:w="0" w:type="dxa"/>
            <w:left w:w="0" w:type="dxa"/>
            <w:bottom w:w="0" w:type="dxa"/>
            <w:right w:w="0" w:type="dxa"/>
          </w:tblCellMar>
        </w:tblPrEx>
        <w:trPr>
          <w:trHeight w:val="103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科室门牌1</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500mm×1000mm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15</w:t>
            </w:r>
          </w:p>
        </w:tc>
      </w:tr>
      <w:tr>
        <w:tblPrEx>
          <w:tblCellMar>
            <w:top w:w="0" w:type="dxa"/>
            <w:left w:w="0" w:type="dxa"/>
            <w:bottom w:w="0" w:type="dxa"/>
            <w:right w:w="0" w:type="dxa"/>
          </w:tblCellMar>
        </w:tblPrEx>
        <w:trPr>
          <w:trHeight w:val="121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遗体接收处大门门牌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600mm×1200mm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115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治丧守灵楼大门外门牌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600mm×1200mm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w:t>
            </w:r>
          </w:p>
        </w:tc>
      </w:tr>
      <w:tr>
        <w:trPr>
          <w:trHeight w:val="106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治丧守灵遗体运送专用通道门牌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600mm×1200mm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1.2镀锌板激光切割刨槽折弯焊接成型，表面刮灰打磨2K氟碳烤漆，图文丝网印刷，挂墙安装。</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rPr>
          <w:trHeight w:val="90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科室门牌2</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250mm×500mm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30</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餐厅门牌1</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700mm×400mm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科室门牌3</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250mm×350mm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55</w:t>
            </w:r>
          </w:p>
        </w:tc>
      </w:tr>
      <w:tr>
        <w:tblPrEx>
          <w:tblCellMar>
            <w:top w:w="0" w:type="dxa"/>
            <w:left w:w="0" w:type="dxa"/>
            <w:bottom w:w="0" w:type="dxa"/>
            <w:right w:w="0" w:type="dxa"/>
          </w:tblCellMar>
        </w:tblPrEx>
        <w:trPr>
          <w:trHeight w:val="93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卫生间门牌</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200mm×280mm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20</w:t>
            </w:r>
          </w:p>
        </w:tc>
      </w:tr>
      <w:tr>
        <w:tblPrEx>
          <w:tblCellMar>
            <w:top w:w="0" w:type="dxa"/>
            <w:left w:w="0" w:type="dxa"/>
            <w:bottom w:w="0" w:type="dxa"/>
            <w:right w:w="0" w:type="dxa"/>
          </w:tblCellMar>
        </w:tblPrEx>
        <w:trPr>
          <w:trHeight w:val="81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23</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当班人员公示</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300mm×200mm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个</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5</w:t>
            </w:r>
          </w:p>
        </w:tc>
      </w:tr>
      <w:tr>
        <w:tblPrEx>
          <w:tblCellMar>
            <w:top w:w="0" w:type="dxa"/>
            <w:left w:w="0" w:type="dxa"/>
            <w:bottom w:w="0" w:type="dxa"/>
            <w:right w:w="0" w:type="dxa"/>
          </w:tblCellMar>
        </w:tblPrEx>
        <w:trPr>
          <w:trHeight w:val="73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禁止提示牌（禁止宠物入内）</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200mm×280mm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14</w:t>
            </w:r>
          </w:p>
        </w:tc>
      </w:tr>
      <w:tr>
        <w:tblPrEx>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禁止提示牌（禁止吸烟）</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200mm×280mm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50</w:t>
            </w:r>
          </w:p>
        </w:tc>
      </w:tr>
      <w:tr>
        <w:tblPrEx>
          <w:tblCellMar>
            <w:top w:w="0" w:type="dxa"/>
            <w:left w:w="0" w:type="dxa"/>
            <w:bottom w:w="0" w:type="dxa"/>
            <w:right w:w="0" w:type="dxa"/>
          </w:tblCellMar>
        </w:tblPrEx>
        <w:trPr>
          <w:trHeight w:val="72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26</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禁止提示牌（不要大声喧哗）</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200mm×280mm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12</w:t>
            </w:r>
          </w:p>
        </w:tc>
      </w:tr>
      <w:tr>
        <w:tblPrEx>
          <w:tblCellMar>
            <w:top w:w="0" w:type="dxa"/>
            <w:left w:w="0" w:type="dxa"/>
            <w:bottom w:w="0" w:type="dxa"/>
            <w:right w:w="0" w:type="dxa"/>
          </w:tblCellMar>
        </w:tblPrEx>
        <w:trPr>
          <w:trHeight w:val="81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27</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禁止录像提示牌1</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300mm×420mm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12</w:t>
            </w:r>
          </w:p>
        </w:tc>
      </w:tr>
      <w:tr>
        <w:tblPrEx>
          <w:tblCellMar>
            <w:top w:w="0" w:type="dxa"/>
            <w:left w:w="0" w:type="dxa"/>
            <w:bottom w:w="0" w:type="dxa"/>
            <w:right w:w="0" w:type="dxa"/>
          </w:tblCellMar>
        </w:tblPrEx>
        <w:trPr>
          <w:trHeight w:val="96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禁止录像提示牌2</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300mm×525mm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5.0压克力板激光雕刻倒边造型，UV印刷。</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w:t>
            </w:r>
          </w:p>
        </w:tc>
      </w:tr>
      <w:tr>
        <w:tblPrEx>
          <w:tblCellMar>
            <w:top w:w="0" w:type="dxa"/>
            <w:left w:w="0" w:type="dxa"/>
            <w:bottom w:w="0" w:type="dxa"/>
            <w:right w:w="0" w:type="dxa"/>
          </w:tblCellMar>
        </w:tblPrEx>
        <w:trPr>
          <w:trHeight w:val="885"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29</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火化公示</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1000mm×700mm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超薄强磁白板，铝合金边框</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2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服务事项通知栏</w:t>
            </w:r>
          </w:p>
        </w:tc>
        <w:tc>
          <w:tcPr>
            <w:tcW w:w="20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1200mm×800mm</w:t>
            </w:r>
          </w:p>
        </w:tc>
        <w:tc>
          <w:tcPr>
            <w:tcW w:w="3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超薄强磁白板，铝合金边框</w:t>
            </w:r>
          </w:p>
        </w:tc>
        <w:tc>
          <w:tcPr>
            <w:tcW w:w="3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1</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2060"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运输、安装、辅料</w:t>
            </w:r>
          </w:p>
        </w:tc>
        <w:tc>
          <w:tcPr>
            <w:tcW w:w="2035"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rPr>
                <w:rFonts w:ascii="宋体" w:hAnsi="宋体" w:cs="宋体"/>
                <w:color w:val="000000"/>
                <w:sz w:val="22"/>
                <w:szCs w:val="22"/>
              </w:rPr>
            </w:pPr>
          </w:p>
        </w:tc>
        <w:tc>
          <w:tcPr>
            <w:tcW w:w="3960"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left"/>
              <w:rPr>
                <w:rFonts w:ascii="宋体" w:hAnsi="宋体" w:cs="宋体"/>
                <w:color w:val="000000"/>
                <w:sz w:val="20"/>
              </w:rPr>
            </w:pPr>
          </w:p>
        </w:tc>
        <w:tc>
          <w:tcPr>
            <w:tcW w:w="399"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次</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w:t>
            </w:r>
          </w:p>
        </w:tc>
      </w:tr>
      <w:tr>
        <w:tblPrEx>
          <w:tblCellMar>
            <w:top w:w="0" w:type="dxa"/>
            <w:left w:w="0" w:type="dxa"/>
            <w:bottom w:w="0" w:type="dxa"/>
            <w:right w:w="0" w:type="dxa"/>
          </w:tblCellMar>
        </w:tblPrEx>
        <w:trPr>
          <w:trHeight w:val="750" w:hRule="atLeast"/>
        </w:trPr>
        <w:tc>
          <w:tcPr>
            <w:tcW w:w="5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060"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售后服务</w:t>
            </w:r>
          </w:p>
        </w:tc>
        <w:tc>
          <w:tcPr>
            <w:tcW w:w="2035"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rPr>
                <w:rFonts w:ascii="宋体" w:hAnsi="宋体" w:cs="宋体"/>
                <w:color w:val="000000"/>
                <w:sz w:val="22"/>
                <w:szCs w:val="22"/>
              </w:rPr>
            </w:pPr>
          </w:p>
        </w:tc>
        <w:tc>
          <w:tcPr>
            <w:tcW w:w="3960"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left"/>
              <w:rPr>
                <w:rFonts w:ascii="宋体" w:hAnsi="宋体" w:cs="宋体"/>
                <w:color w:val="000000"/>
                <w:sz w:val="20"/>
              </w:rPr>
            </w:pPr>
          </w:p>
        </w:tc>
        <w:tc>
          <w:tcPr>
            <w:tcW w:w="399"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1套</w:t>
            </w:r>
          </w:p>
        </w:tc>
        <w:tc>
          <w:tcPr>
            <w:tcW w:w="5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ascii="宋体" w:hAnsi="宋体" w:cs="宋体"/>
                <w:color w:val="000000"/>
                <w:kern w:val="0"/>
                <w:sz w:val="22"/>
                <w:szCs w:val="22"/>
              </w:rPr>
            </w:pPr>
          </w:p>
        </w:tc>
      </w:tr>
    </w:tbl>
    <w:p>
      <w:pPr>
        <w:pStyle w:val="4"/>
        <w:spacing w:before="0" w:after="0" w:line="360" w:lineRule="auto"/>
        <w:jc w:val="center"/>
        <w:rPr>
          <w:rFonts w:ascii="仿宋" w:hAnsi="仿宋" w:eastAsia="仿宋"/>
          <w:b w:val="0"/>
          <w:sz w:val="36"/>
          <w:szCs w:val="30"/>
          <w:highlight w:val="yellow"/>
        </w:rPr>
      </w:pPr>
    </w:p>
    <w:p>
      <w:pPr>
        <w:rPr>
          <w:rFonts w:ascii="仿宋" w:hAnsi="仿宋" w:eastAsia="仿宋"/>
          <w:b/>
          <w:sz w:val="36"/>
          <w:szCs w:val="30"/>
        </w:rPr>
      </w:pPr>
    </w:p>
    <w:p>
      <w:pPr>
        <w:pStyle w:val="2"/>
      </w:pPr>
    </w:p>
    <w:p>
      <w:pPr>
        <w:pStyle w:val="4"/>
        <w:spacing w:before="0" w:after="0" w:line="360" w:lineRule="auto"/>
        <w:jc w:val="center"/>
        <w:rPr>
          <w:rFonts w:ascii="仿宋" w:hAnsi="仿宋" w:eastAsia="仿宋"/>
          <w:b w:val="0"/>
          <w:sz w:val="36"/>
          <w:szCs w:val="30"/>
        </w:rPr>
      </w:pPr>
    </w:p>
    <w:p/>
    <w:p>
      <w:pPr>
        <w:pStyle w:val="4"/>
        <w:spacing w:before="0" w:after="0" w:line="360" w:lineRule="auto"/>
        <w:jc w:val="center"/>
        <w:rPr>
          <w:rFonts w:ascii="仿宋" w:hAnsi="仿宋" w:eastAsia="仿宋"/>
          <w:b w:val="0"/>
          <w:sz w:val="36"/>
          <w:szCs w:val="30"/>
        </w:rPr>
      </w:pPr>
    </w:p>
    <w:p>
      <w:pPr>
        <w:pStyle w:val="4"/>
        <w:spacing w:before="0" w:after="0" w:line="360" w:lineRule="auto"/>
        <w:jc w:val="center"/>
        <w:rPr>
          <w:rFonts w:ascii="仿宋" w:hAnsi="仿宋" w:eastAsia="仿宋"/>
          <w:b w:val="0"/>
          <w:sz w:val="36"/>
          <w:szCs w:val="30"/>
        </w:rPr>
      </w:pPr>
    </w:p>
    <w:p>
      <w:pPr>
        <w:pStyle w:val="4"/>
        <w:spacing w:before="0" w:after="0" w:line="360" w:lineRule="auto"/>
        <w:jc w:val="center"/>
        <w:rPr>
          <w:rFonts w:ascii="仿宋" w:hAnsi="仿宋" w:eastAsia="仿宋"/>
          <w:b w:val="0"/>
          <w:sz w:val="36"/>
          <w:szCs w:val="30"/>
        </w:rPr>
      </w:pPr>
    </w:p>
    <w:p>
      <w:pPr>
        <w:rPr>
          <w:rFonts w:ascii="仿宋" w:hAnsi="仿宋" w:eastAsia="仿宋"/>
          <w:b/>
          <w:sz w:val="36"/>
          <w:szCs w:val="30"/>
        </w:rPr>
      </w:pPr>
    </w:p>
    <w:p>
      <w:pPr>
        <w:pStyle w:val="2"/>
      </w:pPr>
    </w:p>
    <w:p>
      <w:pPr>
        <w:pStyle w:val="4"/>
        <w:spacing w:before="0" w:after="0" w:line="360" w:lineRule="auto"/>
        <w:jc w:val="center"/>
        <w:rPr>
          <w:rFonts w:ascii="仿宋" w:hAnsi="仿宋" w:eastAsia="仿宋"/>
          <w:b w:val="0"/>
          <w:sz w:val="36"/>
          <w:szCs w:val="30"/>
        </w:rPr>
      </w:pPr>
      <w:bookmarkStart w:id="18" w:name="_Toc32615"/>
      <w:r>
        <w:rPr>
          <w:rFonts w:hint="eastAsia" w:ascii="仿宋" w:hAnsi="仿宋" w:eastAsia="仿宋"/>
          <w:b w:val="0"/>
          <w:sz w:val="36"/>
          <w:szCs w:val="30"/>
        </w:rPr>
        <w:t>第三篇  采购商务需求</w:t>
      </w:r>
      <w:bookmarkEnd w:id="17"/>
      <w:bookmarkEnd w:id="18"/>
    </w:p>
    <w:p>
      <w:pPr>
        <w:pStyle w:val="5"/>
        <w:spacing w:before="0" w:after="0" w:line="420" w:lineRule="exact"/>
        <w:rPr>
          <w:rFonts w:ascii="仿宋" w:hAnsi="仿宋" w:eastAsia="仿宋"/>
          <w:sz w:val="24"/>
          <w:szCs w:val="24"/>
        </w:rPr>
      </w:pPr>
      <w:bookmarkStart w:id="19" w:name="_Toc267320049"/>
      <w:bookmarkStart w:id="20" w:name="_Toc2678928"/>
      <w:bookmarkStart w:id="21" w:name="_Toc8129206"/>
      <w:bookmarkStart w:id="22" w:name="_Toc504657399"/>
      <w:bookmarkStart w:id="23" w:name="_Toc26067"/>
      <w:bookmarkStart w:id="24" w:name="_Toc495587767"/>
      <w:bookmarkStart w:id="25" w:name="_Toc267320052"/>
      <w:r>
        <w:rPr>
          <w:rFonts w:hint="eastAsia" w:ascii="仿宋" w:hAnsi="仿宋" w:eastAsia="仿宋"/>
          <w:sz w:val="24"/>
          <w:szCs w:val="24"/>
        </w:rPr>
        <w:t>一、服务时间、服务地点</w:t>
      </w:r>
      <w:bookmarkEnd w:id="19"/>
      <w:r>
        <w:rPr>
          <w:rFonts w:hint="eastAsia" w:ascii="仿宋" w:hAnsi="仿宋" w:eastAsia="仿宋"/>
          <w:sz w:val="24"/>
          <w:szCs w:val="24"/>
        </w:rPr>
        <w:t>及验收方式</w:t>
      </w:r>
      <w:bookmarkEnd w:id="20"/>
      <w:bookmarkEnd w:id="21"/>
      <w:bookmarkEnd w:id="22"/>
      <w:bookmarkEnd w:id="23"/>
    </w:p>
    <w:p>
      <w:pPr>
        <w:snapToGrid w:val="0"/>
        <w:spacing w:line="420" w:lineRule="exact"/>
        <w:ind w:firstLine="360" w:firstLineChars="150"/>
        <w:rPr>
          <w:rFonts w:ascii="仿宋" w:hAnsi="仿宋" w:eastAsia="仿宋" w:cs="宋体"/>
          <w:kern w:val="0"/>
          <w:sz w:val="24"/>
          <w:szCs w:val="24"/>
          <w:highlight w:val="yellow"/>
        </w:rPr>
      </w:pPr>
      <w:r>
        <w:rPr>
          <w:rFonts w:hint="eastAsia" w:ascii="仿宋" w:hAnsi="仿宋" w:eastAsia="仿宋" w:cs="宋体"/>
          <w:kern w:val="0"/>
          <w:sz w:val="24"/>
          <w:szCs w:val="24"/>
        </w:rPr>
        <w:t>（一）服务时间：2020年9月-2020年11月。</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（二）服务地点：垫江县殡仪馆</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（三）验收方式：</w:t>
      </w:r>
      <w:r>
        <w:rPr>
          <w:rFonts w:hint="eastAsia" w:ascii="仿宋" w:hAnsi="仿宋" w:eastAsia="仿宋" w:cs="方正仿宋_GBK"/>
          <w:sz w:val="24"/>
          <w:szCs w:val="24"/>
        </w:rPr>
        <w:t>按磋商文件要求及投标文件响应进行验收。</w:t>
      </w:r>
    </w:p>
    <w:p>
      <w:pPr>
        <w:pStyle w:val="5"/>
        <w:spacing w:before="0" w:after="0" w:line="420" w:lineRule="exact"/>
        <w:rPr>
          <w:rFonts w:ascii="仿宋" w:hAnsi="仿宋" w:eastAsia="仿宋"/>
          <w:sz w:val="24"/>
          <w:szCs w:val="24"/>
        </w:rPr>
      </w:pPr>
      <w:bookmarkStart w:id="26" w:name="_Toc504657400"/>
      <w:bookmarkStart w:id="27" w:name="_Toc8129207"/>
      <w:bookmarkStart w:id="28" w:name="_Toc2678929"/>
      <w:bookmarkStart w:id="29" w:name="_Toc2804"/>
      <w:r>
        <w:rPr>
          <w:rFonts w:hint="eastAsia" w:ascii="仿宋" w:hAnsi="仿宋" w:eastAsia="仿宋"/>
          <w:sz w:val="24"/>
          <w:szCs w:val="24"/>
        </w:rPr>
        <w:t>二、报价要求</w:t>
      </w:r>
      <w:bookmarkEnd w:id="26"/>
      <w:bookmarkEnd w:id="27"/>
      <w:bookmarkEnd w:id="28"/>
      <w:bookmarkEnd w:id="29"/>
    </w:p>
    <w:p>
      <w:pPr>
        <w:snapToGrid w:val="0"/>
        <w:spacing w:line="400" w:lineRule="exact"/>
        <w:ind w:firstLine="540"/>
        <w:rPr>
          <w:rFonts w:ascii="仿宋" w:hAnsi="仿宋" w:eastAsia="仿宋"/>
        </w:rPr>
      </w:pPr>
      <w:bookmarkStart w:id="30" w:name="_Toc8129208"/>
      <w:bookmarkStart w:id="31" w:name="_Toc2678930"/>
      <w:bookmarkStart w:id="32" w:name="_Toc504657401"/>
      <w:r>
        <w:rPr>
          <w:rFonts w:hint="eastAsia" w:ascii="仿宋" w:hAnsi="仿宋" w:eastAsia="仿宋"/>
          <w:sz w:val="24"/>
          <w:szCs w:val="24"/>
        </w:rPr>
        <w:t>磋商报价包括完成本项目所需的设计费、服务费、人工费、装卸费、运输费及材料费及各种应纳的税费等。因成交供应商自身原因造成漏报、少报皆由其自行承担责任，采购人不再补偿。</w:t>
      </w:r>
    </w:p>
    <w:p>
      <w:pPr>
        <w:pStyle w:val="5"/>
        <w:spacing w:before="0" w:after="0" w:line="420" w:lineRule="exact"/>
        <w:rPr>
          <w:rFonts w:ascii="仿宋" w:hAnsi="仿宋" w:eastAsia="仿宋"/>
          <w:sz w:val="24"/>
          <w:szCs w:val="24"/>
        </w:rPr>
      </w:pPr>
      <w:bookmarkStart w:id="33" w:name="_Toc22166"/>
      <w:r>
        <w:rPr>
          <w:rFonts w:hint="eastAsia" w:ascii="仿宋" w:hAnsi="仿宋" w:eastAsia="仿宋"/>
          <w:sz w:val="24"/>
          <w:szCs w:val="24"/>
        </w:rPr>
        <w:t>三、质量保证及售后服务</w:t>
      </w:r>
      <w:bookmarkEnd w:id="30"/>
      <w:bookmarkEnd w:id="31"/>
      <w:bookmarkEnd w:id="32"/>
      <w:bookmarkEnd w:id="33"/>
    </w:p>
    <w:p>
      <w:pPr>
        <w:spacing w:line="400" w:lineRule="exact"/>
        <w:ind w:firstLine="480" w:firstLineChars="200"/>
        <w:rPr>
          <w:rFonts w:ascii="仿宋" w:hAnsi="仿宋" w:eastAsia="仿宋" w:cs="方正仿宋_GBK"/>
          <w:sz w:val="24"/>
          <w:szCs w:val="24"/>
        </w:rPr>
      </w:pPr>
      <w:r>
        <w:rPr>
          <w:rFonts w:hint="eastAsia" w:ascii="仿宋" w:hAnsi="仿宋" w:eastAsia="仿宋" w:cs="方正仿宋_GBK"/>
          <w:sz w:val="24"/>
          <w:szCs w:val="24"/>
        </w:rPr>
        <w:t>成交供应商须严格按照招标文件和采购人要求及自身所提供的方案实施本项目。未经采购人允许，不得改变实施方案，否则将取消供应商承办资格。由采购人选择第二成交候选人承办本项目。成交供应商在实施过程中接受采购人的监督和建议，做好项目各阶段实施情况总结、资料收集及整理。</w:t>
      </w:r>
    </w:p>
    <w:p>
      <w:pPr>
        <w:pStyle w:val="5"/>
        <w:spacing w:before="0" w:after="0" w:line="420" w:lineRule="exact"/>
        <w:rPr>
          <w:rFonts w:ascii="仿宋" w:hAnsi="仿宋" w:eastAsia="仿宋"/>
          <w:sz w:val="24"/>
          <w:szCs w:val="24"/>
        </w:rPr>
      </w:pPr>
      <w:bookmarkStart w:id="34" w:name="_Toc2678931"/>
      <w:bookmarkStart w:id="35" w:name="_Toc499739247"/>
      <w:bookmarkStart w:id="36" w:name="_Toc466546916"/>
      <w:bookmarkStart w:id="37" w:name="_Toc504657402"/>
      <w:bookmarkStart w:id="38" w:name="_Toc8129209"/>
      <w:bookmarkStart w:id="39" w:name="_Toc13838"/>
      <w:r>
        <w:rPr>
          <w:rFonts w:hint="eastAsia" w:ascii="仿宋" w:hAnsi="仿宋" w:eastAsia="仿宋"/>
          <w:sz w:val="24"/>
          <w:szCs w:val="24"/>
        </w:rPr>
        <w:t>四、付款方式</w:t>
      </w:r>
      <w:bookmarkEnd w:id="34"/>
      <w:bookmarkEnd w:id="35"/>
      <w:bookmarkEnd w:id="36"/>
      <w:bookmarkEnd w:id="37"/>
      <w:bookmarkEnd w:id="38"/>
      <w:bookmarkEnd w:id="39"/>
      <w:bookmarkStart w:id="40" w:name="_Toc2678932"/>
    </w:p>
    <w:p>
      <w:pPr>
        <w:spacing w:line="360" w:lineRule="auto"/>
        <w:ind w:firstLine="480" w:firstLineChars="200"/>
        <w:rPr>
          <w:rFonts w:ascii="仿宋" w:hAnsi="仿宋" w:eastAsia="仿宋" w:cs="方正仿宋_GBK"/>
          <w:sz w:val="24"/>
          <w:szCs w:val="24"/>
        </w:rPr>
      </w:pPr>
      <w:bookmarkStart w:id="41" w:name="_Toc8129210"/>
      <w:r>
        <w:rPr>
          <w:rFonts w:hint="eastAsia" w:ascii="仿宋" w:hAnsi="仿宋" w:eastAsia="仿宋" w:cs="方正仿宋_GBK"/>
          <w:sz w:val="24"/>
          <w:szCs w:val="24"/>
        </w:rPr>
        <w:t>合同签订后，采购人支付合同总价的80%价款，待项目通过验收后支付剩余20%价款。</w:t>
      </w:r>
    </w:p>
    <w:p>
      <w:pPr>
        <w:pStyle w:val="5"/>
        <w:spacing w:before="0" w:after="0" w:line="420" w:lineRule="exact"/>
        <w:rPr>
          <w:rFonts w:ascii="仿宋" w:hAnsi="仿宋" w:eastAsia="仿宋"/>
          <w:sz w:val="24"/>
          <w:szCs w:val="24"/>
        </w:rPr>
      </w:pPr>
      <w:bookmarkStart w:id="42" w:name="_Toc26559"/>
      <w:bookmarkStart w:id="43" w:name="_Toc13884"/>
      <w:r>
        <w:rPr>
          <w:rFonts w:hint="eastAsia" w:ascii="仿宋" w:hAnsi="仿宋" w:eastAsia="仿宋"/>
          <w:sz w:val="24"/>
          <w:szCs w:val="24"/>
        </w:rPr>
        <w:t>五、知识产权</w:t>
      </w:r>
      <w:bookmarkEnd w:id="42"/>
      <w:bookmarkEnd w:id="43"/>
    </w:p>
    <w:p>
      <w:pPr>
        <w:spacing w:line="360" w:lineRule="auto"/>
        <w:ind w:firstLine="480" w:firstLineChars="200"/>
        <w:rPr>
          <w:rFonts w:ascii="仿宋" w:hAnsi="仿宋" w:eastAsia="仿宋" w:cs="方正仿宋_GBK"/>
          <w:sz w:val="24"/>
          <w:szCs w:val="24"/>
        </w:rPr>
      </w:pPr>
      <w:r>
        <w:rPr>
          <w:rFonts w:hint="eastAsia" w:ascii="仿宋" w:hAnsi="仿宋" w:eastAsia="仿宋" w:cs="方正仿宋_GBK"/>
          <w:sz w:val="24"/>
          <w:szCs w:val="24"/>
        </w:rPr>
        <w:t xml:space="preserve"> 1、供应商所提供的货物及其他受知识产权保护产品应具备自主知识产权或取得知识产权所有者销售授权。</w:t>
      </w:r>
    </w:p>
    <w:p>
      <w:pPr>
        <w:spacing w:line="360" w:lineRule="auto"/>
        <w:ind w:firstLine="480" w:firstLineChars="200"/>
      </w:pPr>
      <w:r>
        <w:rPr>
          <w:rFonts w:hint="eastAsia" w:ascii="仿宋" w:hAnsi="仿宋" w:eastAsia="仿宋" w:cs="方正仿宋_GBK"/>
          <w:sz w:val="24"/>
          <w:szCs w:val="24"/>
        </w:rPr>
        <w:t>2、采购人在中华人民共和国境内使用供应商提供的货物及服务时免受第三方提出的侵犯其专利权或其它知识产权的起诉。如果第三方提出侵权指控，供应商应承担由此而引起的一切法律责任和费用。</w:t>
      </w:r>
    </w:p>
    <w:p>
      <w:pPr>
        <w:pStyle w:val="5"/>
        <w:spacing w:before="0" w:after="0" w:line="420" w:lineRule="exact"/>
        <w:rPr>
          <w:rFonts w:ascii="仿宋" w:hAnsi="仿宋" w:eastAsia="仿宋"/>
          <w:sz w:val="24"/>
          <w:szCs w:val="24"/>
        </w:rPr>
      </w:pPr>
      <w:bookmarkStart w:id="44" w:name="_Toc26846"/>
      <w:r>
        <w:rPr>
          <w:rFonts w:hint="eastAsia" w:ascii="仿宋" w:hAnsi="仿宋" w:eastAsia="仿宋"/>
          <w:sz w:val="24"/>
          <w:szCs w:val="24"/>
        </w:rPr>
        <w:t>六、</w:t>
      </w:r>
      <w:bookmarkEnd w:id="24"/>
      <w:bookmarkEnd w:id="25"/>
      <w:bookmarkEnd w:id="40"/>
      <w:bookmarkEnd w:id="41"/>
      <w:bookmarkStart w:id="45" w:name="_Toc2677004"/>
      <w:bookmarkStart w:id="46" w:name="_Toc344475125"/>
      <w:r>
        <w:rPr>
          <w:rFonts w:hint="eastAsia" w:ascii="仿宋" w:hAnsi="仿宋" w:eastAsia="仿宋"/>
          <w:sz w:val="24"/>
          <w:szCs w:val="24"/>
        </w:rPr>
        <w:t>其他</w:t>
      </w:r>
      <w:bookmarkEnd w:id="44"/>
      <w:bookmarkEnd w:id="45"/>
    </w:p>
    <w:bookmarkEnd w:id="46"/>
    <w:p>
      <w:pPr>
        <w:snapToGrid w:val="0"/>
        <w:spacing w:line="400" w:lineRule="exact"/>
        <w:ind w:firstLine="480" w:firstLineChars="200"/>
        <w:outlineLvl w:val="0"/>
        <w:rPr>
          <w:rFonts w:ascii="仿宋" w:hAnsi="仿宋" w:eastAsia="仿宋"/>
          <w:sz w:val="24"/>
          <w:szCs w:val="24"/>
        </w:rPr>
      </w:pPr>
      <w:r>
        <w:rPr>
          <w:rFonts w:hint="eastAsia" w:ascii="仿宋" w:hAnsi="仿宋" w:eastAsia="仿宋"/>
          <w:sz w:val="24"/>
          <w:szCs w:val="24"/>
        </w:rPr>
        <w:t>（一）供应商必须在响应文件中对以上条款和服务承诺明确列出，承诺内容必须达到本篇及竞争性磋商文件其他条款的要求。</w:t>
      </w:r>
    </w:p>
    <w:p>
      <w:pPr>
        <w:snapToGrid w:val="0"/>
        <w:spacing w:line="400" w:lineRule="exact"/>
        <w:ind w:firstLine="480" w:firstLineChars="200"/>
        <w:outlineLvl w:val="0"/>
        <w:rPr>
          <w:rFonts w:ascii="仿宋" w:hAnsi="仿宋" w:eastAsia="仿宋"/>
          <w:sz w:val="24"/>
          <w:szCs w:val="24"/>
        </w:rPr>
      </w:pPr>
      <w:r>
        <w:rPr>
          <w:rFonts w:hint="eastAsia" w:ascii="仿宋" w:hAnsi="仿宋" w:eastAsia="仿宋"/>
          <w:sz w:val="24"/>
          <w:szCs w:val="24"/>
        </w:rPr>
        <w:t>（二）其他未尽事宜由供需双方在采购合同中详细约定。</w:t>
      </w:r>
    </w:p>
    <w:p>
      <w:pPr>
        <w:snapToGrid w:val="0"/>
        <w:spacing w:line="400" w:lineRule="exact"/>
        <w:rPr>
          <w:rFonts w:ascii="仿宋" w:hAnsi="仿宋" w:eastAsia="仿宋"/>
          <w:sz w:val="24"/>
          <w:szCs w:val="24"/>
        </w:rPr>
      </w:pPr>
    </w:p>
    <w:p>
      <w:pPr>
        <w:snapToGrid w:val="0"/>
        <w:spacing w:line="400" w:lineRule="exact"/>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snapToGrid w:val="0"/>
        <w:spacing w:line="400" w:lineRule="exact"/>
        <w:rPr>
          <w:rFonts w:ascii="仿宋" w:hAnsi="仿宋" w:eastAsia="仿宋"/>
          <w:sz w:val="24"/>
          <w:szCs w:val="24"/>
        </w:rPr>
      </w:pPr>
    </w:p>
    <w:p>
      <w:pPr>
        <w:pStyle w:val="4"/>
        <w:spacing w:before="0" w:after="0" w:line="360" w:lineRule="auto"/>
        <w:jc w:val="center"/>
        <w:rPr>
          <w:rFonts w:ascii="仿宋" w:hAnsi="仿宋" w:eastAsia="仿宋"/>
          <w:b w:val="0"/>
          <w:sz w:val="36"/>
          <w:szCs w:val="30"/>
        </w:rPr>
      </w:pPr>
      <w:bookmarkStart w:id="47" w:name="_Toc19112"/>
      <w:r>
        <w:rPr>
          <w:rFonts w:hint="eastAsia" w:ascii="仿宋" w:hAnsi="仿宋" w:eastAsia="仿宋"/>
          <w:b w:val="0"/>
          <w:sz w:val="36"/>
          <w:szCs w:val="30"/>
        </w:rPr>
        <w:t>第四篇  磋商程序及方法、评审标准、无效响应和</w:t>
      </w:r>
      <w:r>
        <w:rPr>
          <w:rFonts w:hint="eastAsia" w:ascii="仿宋" w:hAnsi="仿宋" w:eastAsia="仿宋"/>
          <w:b w:val="0"/>
          <w:sz w:val="36"/>
          <w:szCs w:val="36"/>
        </w:rPr>
        <w:t>采购终止</w:t>
      </w:r>
      <w:bookmarkEnd w:id="47"/>
    </w:p>
    <w:p>
      <w:pPr>
        <w:pStyle w:val="5"/>
        <w:spacing w:before="0" w:after="0" w:line="440" w:lineRule="exact"/>
        <w:rPr>
          <w:rFonts w:ascii="仿宋" w:hAnsi="仿宋" w:eastAsia="仿宋"/>
          <w:sz w:val="24"/>
          <w:szCs w:val="24"/>
        </w:rPr>
      </w:pPr>
      <w:bookmarkStart w:id="48" w:name="_Toc16045"/>
      <w:r>
        <w:rPr>
          <w:rFonts w:hint="eastAsia" w:ascii="仿宋" w:hAnsi="仿宋" w:eastAsia="仿宋"/>
          <w:sz w:val="24"/>
          <w:szCs w:val="24"/>
        </w:rPr>
        <w:t>一、磋商程序及方法</w:t>
      </w:r>
      <w:bookmarkEnd w:id="48"/>
    </w:p>
    <w:p>
      <w:pPr>
        <w:spacing w:line="400" w:lineRule="exact"/>
        <w:ind w:firstLine="480" w:firstLineChars="200"/>
        <w:rPr>
          <w:rFonts w:ascii="仿宋" w:hAnsi="仿宋" w:eastAsia="仿宋"/>
          <w:sz w:val="24"/>
          <w:szCs w:val="24"/>
        </w:rPr>
      </w:pPr>
      <w:r>
        <w:rPr>
          <w:rFonts w:hint="eastAsia" w:ascii="仿宋" w:hAnsi="仿宋" w:eastAsia="仿宋"/>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sz w:val="24"/>
          <w:szCs w:val="24"/>
        </w:rPr>
        <w:t>1、</w:t>
      </w:r>
      <w:r>
        <w:rPr>
          <w:rFonts w:hint="eastAsia" w:ascii="仿宋" w:hAnsi="仿宋" w:eastAsia="仿宋" w:cs="宋体"/>
          <w:kern w:val="0"/>
          <w:sz w:val="24"/>
          <w:szCs w:val="24"/>
        </w:rPr>
        <w:t>资格性检查。依据法律法规和竞争性磋商文件的规定，对响应文件中的资格证明、磋商保证金等进行审查，以确定供应商是否具备磋商资格。资格性检查资料表如下：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6"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序号</w:t>
            </w:r>
          </w:p>
        </w:tc>
        <w:tc>
          <w:tcPr>
            <w:tcW w:w="5388" w:type="dxa"/>
            <w:gridSpan w:val="2"/>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检查因素</w:t>
            </w:r>
          </w:p>
        </w:tc>
        <w:tc>
          <w:tcPr>
            <w:tcW w:w="3564"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vAlign w:val="center"/>
          </w:tcPr>
          <w:p>
            <w:pPr>
              <w:spacing w:line="240" w:lineRule="exact"/>
              <w:jc w:val="center"/>
              <w:rPr>
                <w:rFonts w:ascii="仿宋" w:hAnsi="仿宋" w:eastAsia="仿宋"/>
                <w:sz w:val="21"/>
                <w:szCs w:val="21"/>
              </w:rPr>
            </w:pPr>
            <w:r>
              <w:rPr>
                <w:rFonts w:hint="eastAsia" w:ascii="仿宋" w:hAnsi="仿宋" w:eastAsia="仿宋"/>
                <w:sz w:val="21"/>
                <w:szCs w:val="21"/>
              </w:rPr>
              <w:t>1</w:t>
            </w:r>
          </w:p>
        </w:tc>
        <w:tc>
          <w:tcPr>
            <w:tcW w:w="709" w:type="dxa"/>
            <w:vMerge w:val="restart"/>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rPr>
              <w:t>供应商</w:t>
            </w:r>
            <w:r>
              <w:rPr>
                <w:rFonts w:hint="eastAsia" w:ascii="仿宋" w:hAnsi="仿宋" w:eastAsia="仿宋" w:cs="仿宋_GB2312"/>
                <w:sz w:val="21"/>
                <w:szCs w:val="21"/>
                <w:lang w:val="zh-CN"/>
              </w:rPr>
              <w:t>应符合的基本资格条件</w:t>
            </w:r>
          </w:p>
        </w:tc>
        <w:tc>
          <w:tcPr>
            <w:tcW w:w="4679" w:type="dxa"/>
            <w:vAlign w:val="center"/>
          </w:tcPr>
          <w:p>
            <w:pPr>
              <w:spacing w:line="240" w:lineRule="exact"/>
              <w:rPr>
                <w:rFonts w:ascii="仿宋" w:hAnsi="仿宋" w:eastAsia="仿宋"/>
                <w:sz w:val="21"/>
                <w:szCs w:val="21"/>
              </w:rPr>
            </w:pPr>
            <w:r>
              <w:rPr>
                <w:rFonts w:hint="eastAsia" w:ascii="仿宋" w:hAnsi="仿宋" w:eastAsia="仿宋"/>
                <w:sz w:val="21"/>
                <w:szCs w:val="21"/>
              </w:rPr>
              <w:t>（1）具有独立承担民事责任的能力</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供应商法人营业执照（副本）或事业单位法人证书（副本）或个体工商户营业执照复印件（注</w:t>
            </w:r>
            <w:r>
              <w:rPr>
                <w:rFonts w:ascii="仿宋" w:hAnsi="仿宋" w:eastAsia="仿宋"/>
                <w:sz w:val="21"/>
                <w:szCs w:val="21"/>
              </w:rPr>
              <w:fldChar w:fldCharType="begin"/>
            </w:r>
            <w:r>
              <w:rPr>
                <w:rFonts w:ascii="仿宋" w:hAnsi="仿宋" w:eastAsia="仿宋"/>
                <w:sz w:val="21"/>
                <w:szCs w:val="21"/>
              </w:rPr>
              <w:instrText xml:space="preserve"> </w:instrText>
            </w:r>
            <w:r>
              <w:rPr>
                <w:rFonts w:hint="eastAsia" w:ascii="仿宋" w:hAnsi="仿宋" w:eastAsia="仿宋"/>
                <w:sz w:val="21"/>
                <w:szCs w:val="21"/>
              </w:rPr>
              <w:instrText xml:space="preserve">eq \o\ac(○,</w:instrText>
            </w:r>
            <w:r>
              <w:rPr>
                <w:rFonts w:hint="eastAsia" w:ascii="仿宋" w:hAnsi="仿宋" w:eastAsia="仿宋"/>
                <w:position w:val="2"/>
                <w:sz w:val="14"/>
                <w:szCs w:val="21"/>
              </w:rPr>
              <w:instrText xml:space="preserve">2</w:instrText>
            </w:r>
            <w:r>
              <w:rPr>
                <w:rFonts w:hint="eastAsia" w:ascii="仿宋" w:hAnsi="仿宋" w:eastAsia="仿宋"/>
                <w:sz w:val="21"/>
                <w:szCs w:val="21"/>
              </w:rPr>
              <w:instrText xml:space="preserve">)</w:instrText>
            </w:r>
            <w:r>
              <w:rPr>
                <w:rFonts w:ascii="仿宋" w:hAnsi="仿宋" w:eastAsia="仿宋"/>
                <w:sz w:val="21"/>
                <w:szCs w:val="21"/>
              </w:rPr>
              <w:fldChar w:fldCharType="end"/>
            </w:r>
            <w:r>
              <w:rPr>
                <w:rFonts w:hint="eastAsia" w:ascii="仿宋" w:hAnsi="仿宋" w:eastAsia="仿宋"/>
                <w:sz w:val="21"/>
                <w:szCs w:val="21"/>
              </w:rPr>
              <w:t xml:space="preserve">）； </w:t>
            </w:r>
          </w:p>
          <w:p>
            <w:pPr>
              <w:spacing w:line="240" w:lineRule="exact"/>
              <w:rPr>
                <w:rFonts w:ascii="仿宋" w:hAnsi="仿宋" w:eastAsia="仿宋"/>
                <w:sz w:val="21"/>
                <w:szCs w:val="21"/>
              </w:rPr>
            </w:pPr>
            <w:r>
              <w:rPr>
                <w:rFonts w:hint="eastAsia" w:ascii="仿宋" w:hAnsi="仿宋" w:eastAsia="仿宋"/>
                <w:sz w:val="21"/>
                <w:szCs w:val="21"/>
              </w:rPr>
              <w:t>供应商法定代表人身份证明和法定代表人授权代表委托书。</w:t>
            </w:r>
          </w:p>
          <w:p>
            <w:pPr>
              <w:spacing w:line="240" w:lineRule="exact"/>
              <w:rPr>
                <w:rFonts w:ascii="仿宋" w:hAnsi="仿宋" w:eastAsia="仿宋"/>
                <w:sz w:val="21"/>
                <w:szCs w:val="21"/>
              </w:rPr>
            </w:pPr>
            <w:r>
              <w:rPr>
                <w:rFonts w:hint="eastAsia" w:ascii="仿宋" w:hAnsi="仿宋" w:eastAsia="仿宋"/>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sz w:val="21"/>
                <w:szCs w:val="21"/>
              </w:rPr>
            </w:pPr>
            <w:r>
              <w:rPr>
                <w:rFonts w:hint="eastAsia" w:ascii="仿宋" w:hAnsi="仿宋" w:eastAsia="仿宋" w:cs="仿宋_GB2312"/>
                <w:sz w:val="21"/>
                <w:szCs w:val="21"/>
                <w:lang w:val="zh-CN"/>
              </w:rPr>
              <w:t>（2）</w:t>
            </w:r>
            <w:r>
              <w:rPr>
                <w:rFonts w:hint="eastAsia" w:ascii="仿宋" w:hAnsi="仿宋" w:eastAsia="仿宋"/>
                <w:sz w:val="21"/>
                <w:szCs w:val="21"/>
              </w:rPr>
              <w:t>具有良好的商业信誉和健全的财务会计制度</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提供上一年度财务会计报告（表）复印件，本年度新成立的公司提供递交响应文件截止时间前一个月的财务会计报告（表）复印件。（新成立公司不足一个月的除外）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（3）具有履行合同所必需的设备和专业技术能力</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（4）有依法缴纳税收和社会保障金的良好记录</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sz w:val="21"/>
                <w:szCs w:val="21"/>
              </w:rPr>
              <w:t>（5）参加政府采购活动前三年内，在经营活动中没有重大违法记录</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sz w:val="21"/>
                <w:szCs w:val="21"/>
              </w:rPr>
            </w:pPr>
            <w:r>
              <w:rPr>
                <w:rFonts w:hint="eastAsia" w:ascii="仿宋" w:hAnsi="仿宋" w:eastAsia="仿宋"/>
                <w:sz w:val="21"/>
                <w:szCs w:val="21"/>
              </w:rPr>
              <w:t>（6）法律、行政法规规定的其他条件</w:t>
            </w:r>
          </w:p>
        </w:tc>
        <w:tc>
          <w:tcPr>
            <w:tcW w:w="3564" w:type="dxa"/>
            <w:vAlign w:val="center"/>
          </w:tcPr>
          <w:p>
            <w:pPr>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6" w:type="dxa"/>
            <w:vAlign w:val="center"/>
          </w:tcPr>
          <w:p>
            <w:pPr>
              <w:spacing w:line="240" w:lineRule="exact"/>
              <w:jc w:val="center"/>
              <w:rPr>
                <w:rFonts w:ascii="仿宋" w:hAnsi="仿宋" w:eastAsia="仿宋"/>
                <w:sz w:val="21"/>
                <w:szCs w:val="21"/>
              </w:rPr>
            </w:pPr>
            <w:r>
              <w:rPr>
                <w:rFonts w:hint="eastAsia" w:ascii="仿宋" w:hAnsi="仿宋" w:eastAsia="仿宋"/>
                <w:sz w:val="21"/>
                <w:szCs w:val="21"/>
              </w:rPr>
              <w:t>2</w:t>
            </w:r>
          </w:p>
        </w:tc>
        <w:tc>
          <w:tcPr>
            <w:tcW w:w="5388" w:type="dxa"/>
            <w:gridSpan w:val="2"/>
            <w:vAlign w:val="center"/>
          </w:tcPr>
          <w:p>
            <w:pPr>
              <w:spacing w:line="240" w:lineRule="exact"/>
              <w:rPr>
                <w:rFonts w:ascii="仿宋" w:hAnsi="仿宋" w:eastAsia="仿宋"/>
                <w:sz w:val="21"/>
                <w:szCs w:val="21"/>
              </w:rPr>
            </w:pPr>
            <w:r>
              <w:rPr>
                <w:rFonts w:hint="eastAsia" w:ascii="仿宋" w:hAnsi="仿宋" w:eastAsia="仿宋"/>
                <w:sz w:val="21"/>
                <w:szCs w:val="21"/>
              </w:rPr>
              <w:t>特定资格条件</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按磋商文件第一篇，三、供应商资格条件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676" w:type="dxa"/>
            <w:vAlign w:val="center"/>
          </w:tcPr>
          <w:p>
            <w:pPr>
              <w:spacing w:line="240" w:lineRule="exact"/>
              <w:jc w:val="center"/>
              <w:rPr>
                <w:rFonts w:ascii="仿宋" w:hAnsi="仿宋" w:eastAsia="仿宋"/>
                <w:sz w:val="21"/>
                <w:szCs w:val="21"/>
              </w:rPr>
            </w:pPr>
            <w:r>
              <w:rPr>
                <w:rFonts w:hint="eastAsia" w:ascii="仿宋" w:hAnsi="仿宋" w:eastAsia="仿宋"/>
                <w:sz w:val="21"/>
                <w:szCs w:val="21"/>
              </w:rPr>
              <w:t>3</w:t>
            </w:r>
          </w:p>
        </w:tc>
        <w:tc>
          <w:tcPr>
            <w:tcW w:w="5388" w:type="dxa"/>
            <w:gridSpan w:val="2"/>
            <w:vAlign w:val="center"/>
          </w:tcPr>
          <w:p>
            <w:pPr>
              <w:spacing w:line="240" w:lineRule="exact"/>
              <w:rPr>
                <w:rFonts w:ascii="仿宋" w:hAnsi="仿宋" w:eastAsia="仿宋"/>
                <w:sz w:val="21"/>
                <w:szCs w:val="21"/>
              </w:rPr>
            </w:pPr>
            <w:r>
              <w:rPr>
                <w:rFonts w:hint="eastAsia" w:ascii="仿宋" w:hAnsi="仿宋" w:eastAsia="仿宋"/>
                <w:sz w:val="21"/>
                <w:szCs w:val="21"/>
              </w:rPr>
              <w:t>磋商保证金</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按磋商文件要求提交磋商保证金</w:t>
            </w:r>
          </w:p>
        </w:tc>
      </w:tr>
    </w:tbl>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fldChar w:fldCharType="begin"/>
      </w:r>
      <w:r>
        <w:rPr>
          <w:rFonts w:ascii="仿宋" w:hAnsi="仿宋" w:eastAsia="仿宋" w:cs="宋体"/>
          <w:kern w:val="0"/>
          <w:sz w:val="24"/>
          <w:szCs w:val="24"/>
        </w:rPr>
        <w:instrText xml:space="preserve"> </w:instrText>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1</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cs="宋体"/>
          <w:kern w:val="0"/>
          <w:sz w:val="24"/>
          <w:szCs w:val="24"/>
        </w:rPr>
        <w:t>供应商按“三证合一”登记制度办理营业执照的，组织机构代码证和税务登记证（副本）以供应商所提供的营业执照（副本）复印件为准。</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仿宋" w:hAnsi="仿宋" w:eastAsia="仿宋"/>
          <w:kern w:val="0"/>
          <w:sz w:val="24"/>
          <w:szCs w:val="24"/>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序号</w:t>
            </w:r>
          </w:p>
        </w:tc>
        <w:tc>
          <w:tcPr>
            <w:tcW w:w="3544" w:type="dxa"/>
            <w:gridSpan w:val="2"/>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评审因素</w:t>
            </w:r>
          </w:p>
        </w:tc>
        <w:tc>
          <w:tcPr>
            <w:tcW w:w="5409"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1</w:t>
            </w:r>
          </w:p>
        </w:tc>
        <w:tc>
          <w:tcPr>
            <w:tcW w:w="1560" w:type="dxa"/>
            <w:vMerge w:val="restart"/>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有效性审查</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sz w:val="21"/>
                <w:szCs w:val="21"/>
              </w:rPr>
              <w:t>响应文件签署</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0"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sz w:val="21"/>
                <w:szCs w:val="21"/>
              </w:rPr>
            </w:pPr>
            <w:r>
              <w:rPr>
                <w:rFonts w:hint="eastAsia" w:ascii="仿宋" w:hAnsi="仿宋" w:eastAsia="仿宋"/>
                <w:sz w:val="21"/>
                <w:szCs w:val="21"/>
              </w:rPr>
              <w:t>法定代表人身份证明及授权委托书</w:t>
            </w:r>
          </w:p>
        </w:tc>
        <w:tc>
          <w:tcPr>
            <w:tcW w:w="5409" w:type="dxa"/>
            <w:vAlign w:val="center"/>
          </w:tcPr>
          <w:p>
            <w:pPr>
              <w:spacing w:line="240" w:lineRule="exact"/>
              <w:rPr>
                <w:rFonts w:ascii="仿宋" w:hAnsi="仿宋" w:eastAsia="仿宋"/>
                <w:sz w:val="21"/>
                <w:szCs w:val="21"/>
              </w:rPr>
            </w:pPr>
            <w:r>
              <w:rPr>
                <w:rFonts w:hint="eastAsia" w:ascii="仿宋" w:hAnsi="仿宋" w:eastAsia="仿宋"/>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0"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rPr>
              <w:t>响应</w:t>
            </w:r>
            <w:r>
              <w:rPr>
                <w:rFonts w:hint="eastAsia" w:ascii="仿宋" w:hAnsi="仿宋" w:eastAsia="仿宋" w:cs="仿宋_GB2312"/>
                <w:sz w:val="21"/>
                <w:szCs w:val="21"/>
                <w:lang w:val="zh-CN"/>
              </w:rPr>
              <w:t>方案</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每个分包只能有一个</w:t>
            </w:r>
            <w:r>
              <w:rPr>
                <w:rFonts w:hint="eastAsia" w:ascii="仿宋" w:hAnsi="仿宋" w:eastAsia="仿宋" w:cs="仿宋_GB2312"/>
                <w:sz w:val="21"/>
                <w:szCs w:val="21"/>
              </w:rPr>
              <w:t>响应</w:t>
            </w:r>
            <w:r>
              <w:rPr>
                <w:rFonts w:hint="eastAsia" w:ascii="仿宋" w:hAnsi="仿宋" w:eastAsia="仿宋"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0"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cs="仿宋_GB2312"/>
                <w:sz w:val="21"/>
                <w:szCs w:val="21"/>
                <w:lang w:val="zh-CN"/>
              </w:rPr>
            </w:pPr>
            <w:r>
              <w:rPr>
                <w:rFonts w:hint="eastAsia" w:ascii="仿宋" w:hAnsi="仿宋" w:eastAsia="仿宋"/>
                <w:sz w:val="21"/>
                <w:szCs w:val="21"/>
              </w:rPr>
              <w:t>报价唯一</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lang w:val="zh-CN"/>
              </w:rPr>
              <w:t>只能在采购预算范围内报价，</w:t>
            </w:r>
            <w:r>
              <w:rPr>
                <w:rFonts w:hint="eastAsia" w:ascii="仿宋" w:hAnsi="仿宋" w:eastAsia="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2</w:t>
            </w:r>
          </w:p>
        </w:tc>
        <w:tc>
          <w:tcPr>
            <w:tcW w:w="1560" w:type="dxa"/>
            <w:vMerge w:val="restart"/>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完整性审查</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rPr>
              <w:t>响应</w:t>
            </w:r>
            <w:r>
              <w:rPr>
                <w:rFonts w:hint="eastAsia" w:ascii="仿宋" w:hAnsi="仿宋" w:eastAsia="仿宋" w:cs="仿宋_GB2312"/>
                <w:sz w:val="21"/>
                <w:szCs w:val="21"/>
                <w:lang w:val="zh-CN"/>
              </w:rPr>
              <w:t>文件份数</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仿宋_GB2312"/>
                <w:sz w:val="21"/>
                <w:szCs w:val="21"/>
              </w:rPr>
              <w:t>响应</w:t>
            </w:r>
            <w:r>
              <w:rPr>
                <w:rFonts w:hint="eastAsia" w:ascii="仿宋" w:hAnsi="仿宋" w:eastAsia="仿宋" w:cs="仿宋_GB2312"/>
                <w:sz w:val="21"/>
                <w:szCs w:val="21"/>
                <w:lang w:val="zh-CN"/>
              </w:rPr>
              <w:t>文件正、副本数量符合</w:t>
            </w:r>
            <w:r>
              <w:rPr>
                <w:rFonts w:hint="eastAsia" w:ascii="仿宋" w:hAnsi="仿宋" w:eastAsia="仿宋" w:cs="仿宋_GB2312"/>
                <w:sz w:val="21"/>
                <w:szCs w:val="21"/>
              </w:rPr>
              <w:t>竞争性磋商</w:t>
            </w:r>
            <w:r>
              <w:rPr>
                <w:rFonts w:hint="eastAsia" w:ascii="仿宋" w:hAnsi="仿宋" w:eastAsia="仿宋"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0" w:type="dxa"/>
            <w:vMerge w:val="continue"/>
            <w:vAlign w:val="center"/>
          </w:tcPr>
          <w:p>
            <w:pPr>
              <w:spacing w:line="240" w:lineRule="exact"/>
              <w:rPr>
                <w:rFonts w:ascii="仿宋" w:hAnsi="仿宋" w:eastAsia="仿宋" w:cs="宋体"/>
                <w:kern w:val="0"/>
                <w:sz w:val="21"/>
                <w:szCs w:val="21"/>
              </w:rPr>
            </w:pPr>
          </w:p>
        </w:tc>
        <w:tc>
          <w:tcPr>
            <w:tcW w:w="1984"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rPr>
              <w:t>响应</w:t>
            </w:r>
            <w:r>
              <w:rPr>
                <w:rFonts w:hint="eastAsia" w:ascii="仿宋" w:hAnsi="仿宋" w:eastAsia="仿宋" w:cs="仿宋_GB2312"/>
                <w:sz w:val="21"/>
                <w:szCs w:val="21"/>
                <w:lang w:val="zh-CN"/>
              </w:rPr>
              <w:t>文件内容</w:t>
            </w:r>
          </w:p>
        </w:tc>
        <w:tc>
          <w:tcPr>
            <w:tcW w:w="5409"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rPr>
              <w:t>响应</w:t>
            </w:r>
            <w:r>
              <w:rPr>
                <w:rFonts w:hint="eastAsia" w:ascii="仿宋" w:hAnsi="仿宋" w:eastAsia="仿宋"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3</w:t>
            </w:r>
          </w:p>
        </w:tc>
        <w:tc>
          <w:tcPr>
            <w:tcW w:w="1560" w:type="dxa"/>
            <w:vMerge w:val="restart"/>
            <w:vAlign w:val="center"/>
          </w:tcPr>
          <w:p>
            <w:pPr>
              <w:spacing w:line="240" w:lineRule="exact"/>
              <w:rPr>
                <w:rFonts w:ascii="仿宋" w:hAnsi="仿宋" w:eastAsia="仿宋" w:cs="仿宋_GB2312"/>
                <w:sz w:val="21"/>
                <w:szCs w:val="21"/>
                <w:lang w:val="zh-CN"/>
              </w:rPr>
            </w:pPr>
            <w:r>
              <w:rPr>
                <w:rFonts w:hint="eastAsia" w:ascii="仿宋" w:hAnsi="仿宋" w:eastAsia="仿宋" w:cs="宋体"/>
                <w:kern w:val="0"/>
                <w:sz w:val="21"/>
                <w:szCs w:val="21"/>
              </w:rPr>
              <w:t>竞争性磋商文件的响应程度审查</w:t>
            </w: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响应文件内容</w:t>
            </w:r>
          </w:p>
        </w:tc>
        <w:tc>
          <w:tcPr>
            <w:tcW w:w="5409" w:type="dxa"/>
            <w:vAlign w:val="center"/>
          </w:tcPr>
          <w:p>
            <w:pPr>
              <w:pStyle w:val="32"/>
              <w:spacing w:line="240" w:lineRule="exact"/>
              <w:rPr>
                <w:rFonts w:ascii="仿宋" w:hAnsi="仿宋" w:eastAsia="仿宋" w:cs="宋体"/>
                <w:kern w:val="0"/>
                <w:sz w:val="21"/>
                <w:szCs w:val="21"/>
              </w:rPr>
            </w:pPr>
            <w:r>
              <w:rPr>
                <w:rFonts w:hint="eastAsia" w:ascii="仿宋" w:hAnsi="仿宋" w:eastAsia="仿宋" w:cs="宋体"/>
                <w:kern w:val="0"/>
                <w:sz w:val="21"/>
                <w:szCs w:val="21"/>
              </w:rPr>
              <w:t>对竞争性磋商文件第二、三篇规定的磋商内容作出响应。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仿宋" w:hAnsi="仿宋" w:eastAsia="仿宋" w:cs="宋体"/>
                <w:kern w:val="0"/>
                <w:sz w:val="21"/>
                <w:szCs w:val="21"/>
              </w:rPr>
            </w:pPr>
          </w:p>
        </w:tc>
        <w:tc>
          <w:tcPr>
            <w:tcW w:w="1560" w:type="dxa"/>
            <w:vMerge w:val="continue"/>
            <w:vAlign w:val="center"/>
          </w:tcPr>
          <w:p>
            <w:pPr>
              <w:spacing w:line="240" w:lineRule="exact"/>
              <w:rPr>
                <w:rFonts w:ascii="仿宋" w:hAnsi="仿宋" w:eastAsia="仿宋" w:cs="仿宋_GB2312"/>
                <w:sz w:val="21"/>
                <w:szCs w:val="21"/>
                <w:lang w:val="zh-CN"/>
              </w:rPr>
            </w:pPr>
          </w:p>
        </w:tc>
        <w:tc>
          <w:tcPr>
            <w:tcW w:w="1984"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磋商有效期</w:t>
            </w:r>
          </w:p>
        </w:tc>
        <w:tc>
          <w:tcPr>
            <w:tcW w:w="5409" w:type="dxa"/>
            <w:vAlign w:val="center"/>
          </w:tcPr>
          <w:p>
            <w:pPr>
              <w:spacing w:line="240" w:lineRule="exact"/>
              <w:rPr>
                <w:rFonts w:ascii="仿宋" w:hAnsi="仿宋" w:eastAsia="仿宋" w:cs="宋体"/>
                <w:kern w:val="0"/>
                <w:sz w:val="21"/>
                <w:szCs w:val="21"/>
              </w:rPr>
            </w:pPr>
            <w:r>
              <w:rPr>
                <w:rFonts w:hint="eastAsia" w:ascii="仿宋" w:hAnsi="仿宋" w:eastAsia="仿宋" w:cs="宋体"/>
                <w:kern w:val="0"/>
                <w:sz w:val="21"/>
                <w:szCs w:val="21"/>
              </w:rPr>
              <w:t>满足磋商文件</w:t>
            </w:r>
            <w:r>
              <w:rPr>
                <w:rFonts w:hint="eastAsia" w:ascii="仿宋" w:hAnsi="仿宋" w:eastAsia="仿宋" w:cs="仿宋_GB2312"/>
                <w:sz w:val="21"/>
                <w:szCs w:val="21"/>
                <w:lang w:val="zh-CN"/>
              </w:rPr>
              <w:t>规定。</w:t>
            </w:r>
          </w:p>
        </w:tc>
      </w:tr>
    </w:tbl>
    <w:p>
      <w:pPr>
        <w:spacing w:line="400" w:lineRule="exact"/>
        <w:ind w:firstLine="480" w:firstLineChars="200"/>
        <w:rPr>
          <w:rFonts w:ascii="仿宋" w:hAnsi="仿宋" w:eastAsia="仿宋"/>
          <w:sz w:val="24"/>
          <w:szCs w:val="24"/>
        </w:rPr>
      </w:pPr>
      <w:r>
        <w:rPr>
          <w:rFonts w:hint="eastAsia" w:ascii="仿宋" w:hAnsi="仿宋" w:eastAsia="仿宋"/>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（五）在磋商过程中磋商的任何一方不得向他人透露与磋商有关的技术资料、价格或其他信息。</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（七）供应商在磋商时作出的所有书面承诺须由法定代表人或其授权代表签字。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w:t>
      </w:r>
      <w:r>
        <w:rPr>
          <w:rFonts w:ascii="仿宋" w:hAnsi="仿宋" w:eastAsia="仿宋"/>
          <w:sz w:val="24"/>
          <w:szCs w:val="24"/>
        </w:rPr>
        <w:t>已提交响应文件</w:t>
      </w:r>
      <w:r>
        <w:rPr>
          <w:rFonts w:hint="eastAsia" w:ascii="仿宋" w:hAnsi="仿宋" w:eastAsia="仿宋"/>
          <w:sz w:val="24"/>
          <w:szCs w:val="24"/>
        </w:rPr>
        <w:t>但未在规定时间内进行最后报价</w:t>
      </w:r>
      <w:r>
        <w:rPr>
          <w:rFonts w:ascii="仿宋" w:hAnsi="仿宋" w:eastAsia="仿宋"/>
          <w:sz w:val="24"/>
          <w:szCs w:val="24"/>
        </w:rPr>
        <w:t>的供应商，</w:t>
      </w:r>
      <w:r>
        <w:rPr>
          <w:rFonts w:hint="eastAsia" w:ascii="仿宋" w:hAnsi="仿宋" w:eastAsia="仿宋"/>
          <w:sz w:val="24"/>
          <w:szCs w:val="24"/>
        </w:rPr>
        <w:t>视为放弃最后报价，以供应商响应文件中的报价为准。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（九）磋商小组采用综合评分法对提交最后报价的供应商的响应文件和最后报价（含有效书面承诺）进行综合评分。</w:t>
      </w:r>
      <w:r>
        <w:rPr>
          <w:rFonts w:hint="eastAsia" w:ascii="仿宋" w:hAnsi="仿宋" w:eastAsia="仿宋" w:cs="宋体"/>
          <w:kern w:val="0"/>
          <w:sz w:val="24"/>
          <w:szCs w:val="24"/>
        </w:rPr>
        <w:t>综合评分法，是指响应</w:t>
      </w:r>
      <w:r>
        <w:rPr>
          <w:rFonts w:ascii="仿宋" w:hAnsi="仿宋" w:eastAsia="仿宋" w:cs="宋体"/>
          <w:kern w:val="0"/>
          <w:sz w:val="24"/>
          <w:szCs w:val="24"/>
        </w:rPr>
        <w:t>文件满足</w:t>
      </w:r>
      <w:r>
        <w:rPr>
          <w:rFonts w:hint="eastAsia" w:ascii="仿宋" w:hAnsi="仿宋" w:eastAsia="仿宋" w:cs="宋体"/>
          <w:kern w:val="0"/>
          <w:sz w:val="24"/>
          <w:szCs w:val="24"/>
        </w:rPr>
        <w:t>竞争性磋商</w:t>
      </w:r>
      <w:r>
        <w:rPr>
          <w:rFonts w:ascii="仿宋" w:hAnsi="仿宋" w:eastAsia="仿宋" w:cs="宋体"/>
          <w:kern w:val="0"/>
          <w:sz w:val="24"/>
          <w:szCs w:val="24"/>
        </w:rPr>
        <w:t>文件全部实质性要求且按照评审因素的量化指标评审得分最高的供应商为</w:t>
      </w:r>
      <w:r>
        <w:rPr>
          <w:rFonts w:hint="eastAsia" w:ascii="仿宋" w:hAnsi="仿宋" w:eastAsia="仿宋" w:cs="宋体"/>
          <w:kern w:val="0"/>
          <w:sz w:val="24"/>
          <w:szCs w:val="24"/>
        </w:rPr>
        <w:t>成交</w:t>
      </w:r>
      <w:r>
        <w:rPr>
          <w:rFonts w:ascii="仿宋" w:hAnsi="仿宋" w:eastAsia="仿宋" w:cs="宋体"/>
          <w:kern w:val="0"/>
          <w:sz w:val="24"/>
          <w:szCs w:val="24"/>
        </w:rPr>
        <w:t>候选</w:t>
      </w:r>
      <w:r>
        <w:rPr>
          <w:rFonts w:hint="eastAsia" w:ascii="仿宋" w:hAnsi="仿宋" w:eastAsia="仿宋" w:cs="宋体"/>
          <w:kern w:val="0"/>
          <w:sz w:val="24"/>
          <w:szCs w:val="24"/>
        </w:rPr>
        <w:t>供应商</w:t>
      </w:r>
      <w:r>
        <w:rPr>
          <w:rFonts w:ascii="仿宋" w:hAnsi="仿宋" w:eastAsia="仿宋" w:cs="宋体"/>
          <w:kern w:val="0"/>
          <w:sz w:val="24"/>
          <w:szCs w:val="24"/>
        </w:rPr>
        <w:t>的</w:t>
      </w:r>
      <w:r>
        <w:rPr>
          <w:rFonts w:hint="eastAsia" w:ascii="仿宋" w:hAnsi="仿宋" w:eastAsia="仿宋" w:cs="宋体"/>
          <w:kern w:val="0"/>
          <w:sz w:val="24"/>
          <w:szCs w:val="24"/>
        </w:rPr>
        <w:t>评审</w:t>
      </w:r>
      <w:r>
        <w:rPr>
          <w:rFonts w:ascii="仿宋" w:hAnsi="仿宋" w:eastAsia="仿宋" w:cs="宋体"/>
          <w:kern w:val="0"/>
          <w:sz w:val="24"/>
          <w:szCs w:val="24"/>
        </w:rPr>
        <w:t>方法</w:t>
      </w:r>
      <w:r>
        <w:rPr>
          <w:rFonts w:hint="eastAsia" w:ascii="仿宋" w:hAnsi="仿宋" w:eastAsia="仿宋" w:cs="宋体"/>
          <w:kern w:val="0"/>
          <w:sz w:val="24"/>
          <w:szCs w:val="24"/>
        </w:rPr>
        <w:t>。供应商总得分为价格、商务、技术等评定因素分别按照相应权重值计算分项得分后相加，满分为100分</w:t>
      </w:r>
      <w:r>
        <w:rPr>
          <w:rFonts w:hint="eastAsia" w:ascii="仿宋" w:hAnsi="仿宋" w:eastAsia="仿宋"/>
          <w:sz w:val="24"/>
          <w:szCs w:val="24"/>
        </w:rPr>
        <w:t>（详见评审标准）。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（十）磋商小组各成员独立对每个</w:t>
      </w:r>
      <w:r>
        <w:rPr>
          <w:rFonts w:ascii="仿宋" w:hAnsi="仿宋" w:eastAsia="仿宋" w:cs="宋体"/>
          <w:kern w:val="0"/>
          <w:sz w:val="24"/>
          <w:szCs w:val="24"/>
        </w:rPr>
        <w:t>实质性</w:t>
      </w:r>
      <w:r>
        <w:rPr>
          <w:rFonts w:hint="eastAsia" w:ascii="仿宋" w:hAnsi="仿宋" w:eastAsia="仿宋" w:cs="宋体"/>
          <w:kern w:val="0"/>
          <w:sz w:val="24"/>
          <w:szCs w:val="24"/>
        </w:rPr>
        <w:t>响应</w:t>
      </w:r>
      <w:r>
        <w:rPr>
          <w:rFonts w:hint="eastAsia" w:ascii="仿宋" w:hAnsi="仿宋" w:eastAsia="仿宋"/>
          <w:sz w:val="24"/>
          <w:szCs w:val="24"/>
        </w:rPr>
        <w:t>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若所</w:t>
      </w:r>
      <w:r>
        <w:rPr>
          <w:rFonts w:ascii="仿宋" w:hAnsi="仿宋" w:eastAsia="仿宋"/>
          <w:sz w:val="24"/>
          <w:szCs w:val="24"/>
        </w:rPr>
        <w:t>推荐的成交</w:t>
      </w:r>
      <w:r>
        <w:rPr>
          <w:rFonts w:hint="eastAsia" w:ascii="仿宋" w:hAnsi="仿宋" w:eastAsia="仿宋"/>
          <w:sz w:val="24"/>
          <w:szCs w:val="24"/>
        </w:rPr>
        <w:t>供应商的服务部分为0分，将失去成为成交候选供应商的资格。</w:t>
      </w:r>
    </w:p>
    <w:p>
      <w:pPr>
        <w:pStyle w:val="2"/>
      </w:pPr>
    </w:p>
    <w:p>
      <w:pPr>
        <w:pStyle w:val="5"/>
        <w:spacing w:before="0" w:after="0" w:line="440" w:lineRule="exact"/>
        <w:rPr>
          <w:rFonts w:ascii="仿宋" w:hAnsi="仿宋" w:eastAsia="仿宋"/>
          <w:sz w:val="24"/>
          <w:szCs w:val="24"/>
        </w:rPr>
      </w:pPr>
      <w:bookmarkStart w:id="49" w:name="_Toc17189"/>
      <w:r>
        <w:rPr>
          <w:rFonts w:hint="eastAsia" w:ascii="仿宋" w:hAnsi="仿宋" w:eastAsia="仿宋"/>
          <w:sz w:val="24"/>
          <w:szCs w:val="24"/>
        </w:rPr>
        <w:t>二、</w:t>
      </w:r>
      <w:bookmarkStart w:id="50" w:name="_Toc102227320"/>
      <w:bookmarkStart w:id="51" w:name="_Toc342913394"/>
      <w:r>
        <w:rPr>
          <w:rFonts w:hint="eastAsia" w:ascii="仿宋" w:hAnsi="仿宋" w:eastAsia="仿宋"/>
          <w:sz w:val="24"/>
          <w:szCs w:val="24"/>
        </w:rPr>
        <w:t>评审标准</w:t>
      </w:r>
      <w:bookmarkEnd w:id="49"/>
    </w:p>
    <w:tbl>
      <w:tblPr>
        <w:tblStyle w:val="57"/>
        <w:tblpPr w:leftFromText="180" w:rightFromText="180" w:vertAnchor="text" w:horzAnchor="page" w:tblpX="1293" w:tblpY="436"/>
        <w:tblOverlap w:val="never"/>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57"/>
        <w:gridCol w:w="708"/>
        <w:gridCol w:w="3757"/>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240" w:lineRule="atLeast"/>
              <w:ind w:firstLine="28"/>
              <w:jc w:val="center"/>
              <w:rPr>
                <w:rFonts w:ascii="仿宋" w:hAnsi="仿宋" w:eastAsia="仿宋"/>
                <w:b/>
                <w:sz w:val="22"/>
                <w:szCs w:val="22"/>
              </w:rPr>
            </w:pPr>
            <w:r>
              <w:rPr>
                <w:rFonts w:hint="eastAsia" w:ascii="仿宋" w:hAnsi="仿宋" w:eastAsia="仿宋"/>
                <w:b/>
                <w:sz w:val="22"/>
                <w:szCs w:val="22"/>
              </w:rPr>
              <w:t>序号</w:t>
            </w:r>
          </w:p>
        </w:tc>
        <w:tc>
          <w:tcPr>
            <w:tcW w:w="1957" w:type="dxa"/>
            <w:vAlign w:val="center"/>
          </w:tcPr>
          <w:p>
            <w:pPr>
              <w:spacing w:line="240" w:lineRule="atLeast"/>
              <w:ind w:firstLine="28"/>
              <w:jc w:val="center"/>
              <w:rPr>
                <w:rFonts w:ascii="仿宋" w:hAnsi="仿宋" w:eastAsia="仿宋"/>
                <w:b/>
                <w:sz w:val="22"/>
                <w:szCs w:val="22"/>
              </w:rPr>
            </w:pPr>
            <w:r>
              <w:rPr>
                <w:rFonts w:hint="eastAsia" w:ascii="仿宋" w:hAnsi="仿宋" w:eastAsia="仿宋"/>
                <w:b/>
                <w:sz w:val="22"/>
                <w:szCs w:val="22"/>
              </w:rPr>
              <w:t>评分因素及权值</w:t>
            </w:r>
          </w:p>
        </w:tc>
        <w:tc>
          <w:tcPr>
            <w:tcW w:w="708" w:type="dxa"/>
            <w:vAlign w:val="center"/>
          </w:tcPr>
          <w:p>
            <w:pPr>
              <w:spacing w:line="240" w:lineRule="atLeast"/>
              <w:ind w:firstLine="28"/>
              <w:jc w:val="center"/>
              <w:rPr>
                <w:rFonts w:ascii="仿宋" w:hAnsi="仿宋" w:eastAsia="仿宋"/>
                <w:bCs/>
                <w:sz w:val="22"/>
                <w:szCs w:val="22"/>
              </w:rPr>
            </w:pPr>
            <w:r>
              <w:rPr>
                <w:rFonts w:hint="eastAsia" w:ascii="仿宋" w:hAnsi="仿宋" w:eastAsia="仿宋"/>
                <w:b/>
                <w:sz w:val="22"/>
                <w:szCs w:val="22"/>
              </w:rPr>
              <w:t>分值</w:t>
            </w:r>
          </w:p>
        </w:tc>
        <w:tc>
          <w:tcPr>
            <w:tcW w:w="3757" w:type="dxa"/>
            <w:vAlign w:val="center"/>
          </w:tcPr>
          <w:p>
            <w:pPr>
              <w:spacing w:line="240" w:lineRule="atLeast"/>
              <w:ind w:firstLine="28"/>
              <w:jc w:val="center"/>
              <w:rPr>
                <w:rFonts w:ascii="仿宋" w:hAnsi="仿宋" w:eastAsia="仿宋"/>
                <w:b/>
                <w:sz w:val="22"/>
                <w:szCs w:val="22"/>
              </w:rPr>
            </w:pPr>
            <w:r>
              <w:rPr>
                <w:rFonts w:hint="eastAsia" w:ascii="仿宋" w:hAnsi="仿宋" w:eastAsia="仿宋"/>
                <w:b/>
                <w:sz w:val="22"/>
                <w:szCs w:val="22"/>
              </w:rPr>
              <w:t>评分标准</w:t>
            </w:r>
          </w:p>
        </w:tc>
        <w:tc>
          <w:tcPr>
            <w:tcW w:w="2469" w:type="dxa"/>
            <w:vAlign w:val="center"/>
          </w:tcPr>
          <w:p>
            <w:pPr>
              <w:pStyle w:val="108"/>
              <w:spacing w:before="0" w:after="0" w:line="240" w:lineRule="atLeast"/>
              <w:ind w:firstLine="663" w:firstLineChars="300"/>
              <w:jc w:val="both"/>
              <w:rPr>
                <w:rFonts w:ascii="仿宋" w:hAnsi="仿宋" w:eastAsia="仿宋"/>
                <w:sz w:val="22"/>
                <w:szCs w:val="22"/>
              </w:rPr>
            </w:pPr>
            <w:r>
              <w:rPr>
                <w:rFonts w:hint="eastAsia" w:ascii="仿宋" w:hAnsi="仿宋" w:eastAsia="仿宋"/>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1</w:t>
            </w:r>
          </w:p>
        </w:tc>
        <w:tc>
          <w:tcPr>
            <w:tcW w:w="1957"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磋商报价</w:t>
            </w:r>
          </w:p>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（10%）</w:t>
            </w:r>
          </w:p>
        </w:tc>
        <w:tc>
          <w:tcPr>
            <w:tcW w:w="708" w:type="dxa"/>
            <w:vAlign w:val="center"/>
          </w:tcPr>
          <w:p>
            <w:pPr>
              <w:widowControl/>
              <w:spacing w:line="400" w:lineRule="exact"/>
              <w:ind w:firstLine="420" w:firstLineChars="200"/>
              <w:jc w:val="left"/>
              <w:rPr>
                <w:rFonts w:ascii="宋体" w:hAnsi="宋体" w:cs="宋体"/>
                <w:sz w:val="21"/>
                <w:szCs w:val="21"/>
              </w:rPr>
            </w:pPr>
          </w:p>
          <w:p>
            <w:pPr>
              <w:widowControl/>
              <w:spacing w:line="400" w:lineRule="exact"/>
              <w:jc w:val="left"/>
              <w:rPr>
                <w:rFonts w:ascii="宋体" w:hAnsi="宋体" w:cs="宋体"/>
                <w:sz w:val="21"/>
                <w:szCs w:val="21"/>
              </w:rPr>
            </w:pPr>
            <w:r>
              <w:rPr>
                <w:rFonts w:hint="eastAsia" w:ascii="宋体" w:hAnsi="宋体" w:cs="宋体"/>
                <w:sz w:val="21"/>
                <w:szCs w:val="21"/>
              </w:rPr>
              <w:t>10分</w:t>
            </w:r>
          </w:p>
        </w:tc>
        <w:tc>
          <w:tcPr>
            <w:tcW w:w="3757"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有效的投标报价中的最低价为评标基准价，按照下列公式计算每个投标人的投标价格得分。</w:t>
            </w:r>
          </w:p>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投标报价得分＝（评标基准价/投标报价）×价格权重×100。</w:t>
            </w:r>
          </w:p>
        </w:tc>
        <w:tc>
          <w:tcPr>
            <w:tcW w:w="2469"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45" w:type="dxa"/>
            <w:vMerge w:val="restart"/>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2</w:t>
            </w:r>
          </w:p>
        </w:tc>
        <w:tc>
          <w:tcPr>
            <w:tcW w:w="1957" w:type="dxa"/>
            <w:vMerge w:val="restart"/>
            <w:vAlign w:val="center"/>
          </w:tcPr>
          <w:p>
            <w:pPr>
              <w:spacing w:line="400" w:lineRule="exact"/>
              <w:rPr>
                <w:rFonts w:ascii="仿宋" w:hAnsi="仿宋" w:eastAsia="仿宋" w:cs="仿宋"/>
                <w:sz w:val="22"/>
                <w:szCs w:val="22"/>
              </w:rPr>
            </w:pPr>
            <w:r>
              <w:rPr>
                <w:rFonts w:hint="eastAsia" w:ascii="仿宋" w:hAnsi="仿宋" w:eastAsia="仿宋"/>
                <w:sz w:val="22"/>
                <w:szCs w:val="22"/>
              </w:rPr>
              <w:t>服务部分（65%）</w:t>
            </w:r>
          </w:p>
        </w:tc>
        <w:tc>
          <w:tcPr>
            <w:tcW w:w="708" w:type="dxa"/>
            <w:vMerge w:val="restart"/>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方案设计分</w:t>
            </w:r>
          </w:p>
        </w:tc>
        <w:tc>
          <w:tcPr>
            <w:tcW w:w="3757"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1.项目理解与构思：</w:t>
            </w:r>
          </w:p>
          <w:p>
            <w:pPr>
              <w:widowControl/>
              <w:spacing w:line="400" w:lineRule="exact"/>
              <w:ind w:firstLine="420" w:firstLineChars="200"/>
              <w:jc w:val="left"/>
              <w:rPr>
                <w:rFonts w:ascii="仿宋" w:hAnsi="仿宋" w:eastAsia="仿宋"/>
                <w:sz w:val="22"/>
                <w:szCs w:val="22"/>
              </w:rPr>
            </w:pPr>
            <w:r>
              <w:rPr>
                <w:rFonts w:hint="eastAsia" w:ascii="宋体" w:hAnsi="宋体" w:cs="宋体"/>
                <w:sz w:val="21"/>
                <w:szCs w:val="21"/>
              </w:rPr>
              <w:t>对重庆市殡葬事业管理中心编制《殡葬服务标志和设置规范》的理解，以殡葬服务行业的特性，在具体设计服务应用上综合阐述科学、合理、贴切的20分，较能理解，以殡葬服务行业的特性，在具体设计服务应用上综合阐述科学、合理、贴切的15分，一般能理解，以殡葬服务行业的特性，在具体设计服务应用上综合阐述科学、合理、贴切的10分。</w:t>
            </w:r>
          </w:p>
        </w:tc>
        <w:tc>
          <w:tcPr>
            <w:tcW w:w="2469" w:type="dxa"/>
            <w:vMerge w:val="restart"/>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提供书面服务方案并加盖公章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45" w:type="dxa"/>
            <w:vMerge w:val="continue"/>
            <w:vAlign w:val="center"/>
          </w:tcPr>
          <w:p>
            <w:pPr>
              <w:spacing w:line="240" w:lineRule="atLeast"/>
              <w:ind w:firstLine="28"/>
              <w:jc w:val="left"/>
            </w:pPr>
          </w:p>
        </w:tc>
        <w:tc>
          <w:tcPr>
            <w:tcW w:w="1957" w:type="dxa"/>
            <w:vMerge w:val="continue"/>
            <w:vAlign w:val="center"/>
          </w:tcPr>
          <w:p>
            <w:pPr>
              <w:spacing w:line="240" w:lineRule="atLeast"/>
              <w:ind w:firstLine="28"/>
              <w:jc w:val="left"/>
            </w:pPr>
          </w:p>
        </w:tc>
        <w:tc>
          <w:tcPr>
            <w:tcW w:w="708" w:type="dxa"/>
            <w:vMerge w:val="continue"/>
            <w:vAlign w:val="center"/>
          </w:tcPr>
          <w:p>
            <w:pPr>
              <w:spacing w:line="240" w:lineRule="atLeast"/>
              <w:ind w:firstLine="28"/>
              <w:jc w:val="left"/>
            </w:pPr>
          </w:p>
        </w:tc>
        <w:tc>
          <w:tcPr>
            <w:tcW w:w="3757"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2.对本项目VI设计的认识：</w:t>
            </w:r>
          </w:p>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设计符合殡葬服务行业要求与属性，对重庆市殡葬事业管理中心编制《殡葬服务标志和设置规范》的目的性强、意义重大、主题明确、思想健康、文化鲜明的10分，目的性较强、意义良好、主题较明确、思想健康、文化鲜明的7分，目的性一般、意义良好、主题一般、思想健康、文化鲜明的4分。</w:t>
            </w:r>
          </w:p>
          <w:p>
            <w:pPr>
              <w:spacing w:line="240" w:lineRule="atLeast"/>
              <w:ind w:firstLine="28"/>
              <w:jc w:val="left"/>
              <w:rPr>
                <w:rFonts w:ascii="仿宋" w:hAnsi="仿宋" w:eastAsia="仿宋"/>
                <w:sz w:val="22"/>
                <w:szCs w:val="22"/>
              </w:rPr>
            </w:pPr>
          </w:p>
        </w:tc>
        <w:tc>
          <w:tcPr>
            <w:tcW w:w="2469" w:type="dxa"/>
            <w:vMerge w:val="continue"/>
            <w:vAlign w:val="center"/>
          </w:tcPr>
          <w:p>
            <w:pPr>
              <w:spacing w:line="240" w:lineRule="atLeast"/>
              <w:ind w:firstLine="28"/>
              <w:jc w:val="left"/>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45" w:type="dxa"/>
            <w:vMerge w:val="continue"/>
            <w:vAlign w:val="center"/>
          </w:tcPr>
          <w:p>
            <w:pPr>
              <w:spacing w:line="240" w:lineRule="atLeast"/>
              <w:ind w:firstLine="28"/>
              <w:jc w:val="left"/>
              <w:rPr>
                <w:rFonts w:ascii="仿宋" w:hAnsi="仿宋" w:eastAsia="仿宋"/>
                <w:sz w:val="22"/>
                <w:szCs w:val="22"/>
              </w:rPr>
            </w:pPr>
          </w:p>
        </w:tc>
        <w:tc>
          <w:tcPr>
            <w:tcW w:w="1957" w:type="dxa"/>
            <w:vMerge w:val="continue"/>
            <w:vAlign w:val="center"/>
          </w:tcPr>
          <w:p>
            <w:pPr>
              <w:spacing w:line="240" w:lineRule="atLeast"/>
              <w:ind w:firstLine="28"/>
              <w:jc w:val="left"/>
              <w:rPr>
                <w:rFonts w:ascii="仿宋" w:hAnsi="仿宋" w:eastAsia="仿宋"/>
                <w:sz w:val="22"/>
                <w:szCs w:val="22"/>
              </w:rPr>
            </w:pPr>
          </w:p>
        </w:tc>
        <w:tc>
          <w:tcPr>
            <w:tcW w:w="708" w:type="dxa"/>
            <w:vMerge w:val="continue"/>
            <w:vAlign w:val="center"/>
          </w:tcPr>
          <w:p>
            <w:pPr>
              <w:spacing w:line="240" w:lineRule="atLeast"/>
              <w:ind w:firstLine="28"/>
              <w:jc w:val="left"/>
              <w:rPr>
                <w:rFonts w:ascii="仿宋" w:hAnsi="仿宋" w:eastAsia="仿宋"/>
                <w:sz w:val="22"/>
                <w:szCs w:val="22"/>
              </w:rPr>
            </w:pPr>
          </w:p>
        </w:tc>
        <w:tc>
          <w:tcPr>
            <w:tcW w:w="3757" w:type="dxa"/>
            <w:vAlign w:val="center"/>
          </w:tcPr>
          <w:p>
            <w:pPr>
              <w:widowControl/>
              <w:spacing w:line="400" w:lineRule="exact"/>
              <w:ind w:firstLine="420" w:firstLineChars="200"/>
              <w:jc w:val="left"/>
              <w:rPr>
                <w:rFonts w:ascii="宋体" w:hAnsi="宋体" w:cs="宋体"/>
                <w:sz w:val="21"/>
                <w:szCs w:val="21"/>
              </w:rPr>
            </w:pPr>
            <w:r>
              <w:rPr>
                <w:rFonts w:hint="eastAsia" w:ascii="宋体" w:hAnsi="宋体" w:cs="宋体"/>
                <w:sz w:val="21"/>
                <w:szCs w:val="21"/>
              </w:rPr>
              <w:t>3.设计风格和原创性</w:t>
            </w:r>
          </w:p>
          <w:p>
            <w:pPr>
              <w:widowControl/>
              <w:spacing w:line="400" w:lineRule="exact"/>
              <w:ind w:firstLine="420" w:firstLineChars="200"/>
              <w:jc w:val="left"/>
              <w:rPr>
                <w:rFonts w:ascii="宋体" w:hAnsi="宋体" w:cs="宋体"/>
                <w:kern w:val="0"/>
                <w:sz w:val="21"/>
                <w:szCs w:val="21"/>
              </w:rPr>
            </w:pPr>
            <w:r>
              <w:rPr>
                <w:rFonts w:hint="eastAsia" w:ascii="宋体" w:hAnsi="宋体" w:cs="宋体"/>
                <w:sz w:val="21"/>
                <w:szCs w:val="21"/>
              </w:rPr>
              <w:t>根据重庆市殡葬事业管理中心编制《殡葬服务标志和设置规范》的特点、性质进行针对性设计，</w:t>
            </w:r>
            <w:r>
              <w:rPr>
                <w:rFonts w:hint="eastAsia" w:ascii="宋体" w:hAnsi="宋体" w:cs="宋体"/>
                <w:kern w:val="0"/>
                <w:sz w:val="21"/>
                <w:szCs w:val="21"/>
              </w:rPr>
              <w:t>LOGO与图标规划设计，醇厚大气，有时代气息，识别性强，新颖且具备视觉感染力，且设计方案系统；同时LOGO与图标在和标准字体组合形式上简洁、标准、易制作、易推广，具备延展性与功能性、时代美学的20分。</w:t>
            </w:r>
          </w:p>
          <w:p>
            <w:pPr>
              <w:widowControl/>
              <w:spacing w:line="400" w:lineRule="exact"/>
              <w:ind w:firstLine="420" w:firstLineChars="200"/>
              <w:jc w:val="left"/>
              <w:rPr>
                <w:rFonts w:ascii="宋体" w:hAnsi="宋体" w:cs="宋体"/>
                <w:sz w:val="21"/>
                <w:szCs w:val="21"/>
              </w:rPr>
            </w:pPr>
            <w:r>
              <w:rPr>
                <w:rFonts w:hint="eastAsia" w:ascii="宋体" w:hAnsi="宋体" w:cs="宋体"/>
                <w:kern w:val="0"/>
                <w:sz w:val="21"/>
                <w:szCs w:val="21"/>
              </w:rPr>
              <w:t>LOGO与图标规划设计方案较好，较有时代气息，识别性较强，较新颖且具备视觉感染力15分。</w:t>
            </w:r>
          </w:p>
          <w:p>
            <w:pPr>
              <w:widowControl/>
              <w:spacing w:line="400" w:lineRule="exact"/>
              <w:ind w:firstLine="420" w:firstLineChars="200"/>
              <w:jc w:val="left"/>
              <w:rPr>
                <w:rFonts w:ascii="仿宋" w:hAnsi="仿宋" w:eastAsia="仿宋"/>
                <w:sz w:val="22"/>
                <w:szCs w:val="22"/>
              </w:rPr>
            </w:pPr>
            <w:r>
              <w:rPr>
                <w:rFonts w:hint="eastAsia" w:ascii="宋体" w:hAnsi="宋体" w:cs="宋体"/>
                <w:kern w:val="0"/>
                <w:sz w:val="21"/>
                <w:szCs w:val="21"/>
              </w:rPr>
              <w:t>LOGO与图标规划设计方案一般，时代气息较弱，识别性一般，新颖程度与视觉感染力一般的10分。</w:t>
            </w:r>
          </w:p>
        </w:tc>
        <w:tc>
          <w:tcPr>
            <w:tcW w:w="2469" w:type="dxa"/>
            <w:vMerge w:val="continue"/>
            <w:vAlign w:val="center"/>
          </w:tcPr>
          <w:p>
            <w:pPr>
              <w:spacing w:line="240" w:lineRule="atLeast"/>
              <w:ind w:firstLine="28"/>
              <w:jc w:val="left"/>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5" w:type="dxa"/>
            <w:vMerge w:val="continue"/>
            <w:vAlign w:val="center"/>
          </w:tcPr>
          <w:p>
            <w:pPr>
              <w:spacing w:line="240" w:lineRule="atLeast"/>
              <w:ind w:firstLine="28"/>
              <w:jc w:val="center"/>
              <w:rPr>
                <w:rFonts w:ascii="仿宋" w:hAnsi="仿宋" w:eastAsia="仿宋"/>
                <w:sz w:val="22"/>
                <w:szCs w:val="22"/>
              </w:rPr>
            </w:pPr>
          </w:p>
        </w:tc>
        <w:tc>
          <w:tcPr>
            <w:tcW w:w="1957" w:type="dxa"/>
            <w:vMerge w:val="continue"/>
            <w:vAlign w:val="center"/>
          </w:tcPr>
          <w:p>
            <w:pPr>
              <w:spacing w:line="400" w:lineRule="exact"/>
              <w:rPr>
                <w:rFonts w:ascii="仿宋" w:hAnsi="仿宋" w:eastAsia="仿宋" w:cs="仿宋"/>
                <w:sz w:val="22"/>
                <w:szCs w:val="22"/>
              </w:rPr>
            </w:pPr>
          </w:p>
        </w:tc>
        <w:tc>
          <w:tcPr>
            <w:tcW w:w="708" w:type="dxa"/>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售后方案</w:t>
            </w:r>
          </w:p>
          <w:p>
            <w:pPr>
              <w:pStyle w:val="2"/>
              <w:rPr>
                <w:rFonts w:ascii="宋体" w:hAnsi="宋体" w:eastAsia="宋体" w:cs="宋体"/>
              </w:rPr>
            </w:pPr>
            <w:r>
              <w:rPr>
                <w:rFonts w:hint="eastAsia" w:ascii="仿宋" w:hAnsi="仿宋" w:eastAsia="仿宋"/>
                <w:sz w:val="22"/>
                <w:szCs w:val="22"/>
              </w:rPr>
              <w:t>15分</w:t>
            </w:r>
          </w:p>
        </w:tc>
        <w:tc>
          <w:tcPr>
            <w:tcW w:w="3757" w:type="dxa"/>
            <w:vAlign w:val="center"/>
          </w:tcPr>
          <w:p>
            <w:pPr>
              <w:spacing w:line="240" w:lineRule="atLeast"/>
              <w:ind w:firstLine="28"/>
              <w:jc w:val="left"/>
              <w:rPr>
                <w:rFonts w:ascii="仿宋" w:hAnsi="仿宋"/>
                <w:sz w:val="22"/>
                <w:szCs w:val="22"/>
              </w:rPr>
            </w:pPr>
            <w:r>
              <w:rPr>
                <w:rFonts w:hint="eastAsia" w:ascii="仿宋" w:hAnsi="仿宋" w:eastAsia="仿宋"/>
                <w:sz w:val="22"/>
                <w:szCs w:val="22"/>
              </w:rPr>
              <w:t>4.</w:t>
            </w:r>
            <w:r>
              <w:rPr>
                <w:rFonts w:hint="eastAsia" w:ascii="宋体" w:hAnsi="宋体" w:cs="宋体"/>
                <w:kern w:val="0"/>
                <w:sz w:val="21"/>
                <w:szCs w:val="21"/>
              </w:rPr>
              <w:t>供应商须提供售后服务方案，方案完善，细节到位，现场反应时间短的得15分，方案较完善，细节到位程度一般，现场反应时间较短的得10分，方案不太完善细节一般，现场反应时间较长的得5分。</w:t>
            </w:r>
          </w:p>
        </w:tc>
        <w:tc>
          <w:tcPr>
            <w:tcW w:w="2469" w:type="dxa"/>
            <w:vMerge w:val="continue"/>
            <w:vAlign w:val="center"/>
          </w:tcPr>
          <w:p>
            <w:pPr>
              <w:spacing w:line="240" w:lineRule="atLeast"/>
              <w:ind w:firstLine="28"/>
              <w:jc w:val="cente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5" w:type="dxa"/>
            <w:vMerge w:val="restart"/>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3</w:t>
            </w:r>
          </w:p>
        </w:tc>
        <w:tc>
          <w:tcPr>
            <w:tcW w:w="1957" w:type="dxa"/>
            <w:vMerge w:val="restart"/>
            <w:vAlign w:val="center"/>
          </w:tcPr>
          <w:p>
            <w:pPr>
              <w:spacing w:line="400" w:lineRule="exact"/>
              <w:rPr>
                <w:rFonts w:ascii="仿宋" w:hAnsi="仿宋" w:eastAsia="仿宋" w:cs="仿宋"/>
                <w:sz w:val="22"/>
                <w:szCs w:val="22"/>
              </w:rPr>
            </w:pPr>
            <w:r>
              <w:rPr>
                <w:rFonts w:hint="eastAsia" w:ascii="仿宋" w:hAnsi="仿宋" w:eastAsia="仿宋"/>
                <w:sz w:val="22"/>
                <w:szCs w:val="22"/>
              </w:rPr>
              <w:t>商务部分（25%）</w:t>
            </w:r>
          </w:p>
        </w:tc>
        <w:tc>
          <w:tcPr>
            <w:tcW w:w="708" w:type="dxa"/>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样品制作</w:t>
            </w:r>
          </w:p>
          <w:p>
            <w:pPr>
              <w:pStyle w:val="2"/>
            </w:pPr>
            <w:r>
              <w:rPr>
                <w:rFonts w:hint="eastAsia" w:ascii="仿宋" w:hAnsi="仿宋" w:eastAsia="仿宋"/>
                <w:sz w:val="22"/>
                <w:szCs w:val="22"/>
              </w:rPr>
              <w:t>10分</w:t>
            </w:r>
          </w:p>
        </w:tc>
        <w:tc>
          <w:tcPr>
            <w:tcW w:w="3757" w:type="dxa"/>
            <w:vAlign w:val="center"/>
          </w:tcPr>
          <w:p>
            <w:pPr>
              <w:spacing w:line="240" w:lineRule="atLeast"/>
              <w:jc w:val="left"/>
              <w:rPr>
                <w:rFonts w:eastAsia="仿宋_GB2312"/>
              </w:rPr>
            </w:pPr>
            <w:r>
              <w:rPr>
                <w:rFonts w:hint="eastAsia" w:ascii="宋体" w:hAnsi="宋体" w:cs="宋体"/>
                <w:sz w:val="21"/>
                <w:szCs w:val="21"/>
              </w:rPr>
              <w:t>5.根据设计内容进行实样制作，统一根据设计应用制作：科室门牌一块（尺寸250mm×350mm 5 mm厚透明压克力板激光雕刻，背做UV画面）和电梯间楼层牌一块（尺寸200mm×240mm 5 mm厚透明压克力板激光雕刻，背做UV画面）。材质干净整洁、色彩鲜艳、标识和字体清晰、排版美观、具有视觉感染力的10分。</w:t>
            </w:r>
          </w:p>
          <w:p>
            <w:pPr>
              <w:spacing w:line="240" w:lineRule="atLeast"/>
              <w:jc w:val="left"/>
              <w:rPr>
                <w:rFonts w:ascii="宋体" w:hAnsi="宋体" w:cs="宋体"/>
                <w:sz w:val="21"/>
                <w:szCs w:val="21"/>
              </w:rPr>
            </w:pPr>
            <w:r>
              <w:rPr>
                <w:rFonts w:hint="eastAsia" w:ascii="宋体" w:hAnsi="宋体" w:cs="宋体"/>
                <w:sz w:val="21"/>
                <w:szCs w:val="21"/>
              </w:rPr>
              <w:t>材质干净整洁、色彩较鲜艳、标识和字体较清晰、排版较美观、较具有视觉感染力的7分。</w:t>
            </w:r>
          </w:p>
          <w:p>
            <w:pPr>
              <w:spacing w:line="240" w:lineRule="atLeast"/>
              <w:ind w:firstLine="28"/>
              <w:jc w:val="left"/>
              <w:rPr>
                <w:rFonts w:ascii="仿宋" w:hAnsi="仿宋" w:eastAsia="仿宋"/>
                <w:sz w:val="22"/>
                <w:szCs w:val="22"/>
              </w:rPr>
            </w:pPr>
            <w:r>
              <w:rPr>
                <w:rFonts w:hint="eastAsia" w:ascii="宋体" w:hAnsi="宋体" w:cs="宋体"/>
                <w:sz w:val="21"/>
                <w:szCs w:val="21"/>
              </w:rPr>
              <w:t>材质干净整洁、色彩鲜艳度一般、标识和字体清晰度一般、排版美观度一般、视觉感染力一般的4分</w:t>
            </w:r>
          </w:p>
        </w:tc>
        <w:tc>
          <w:tcPr>
            <w:tcW w:w="2469" w:type="dxa"/>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按要求提供样品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5" w:type="dxa"/>
            <w:vMerge w:val="continue"/>
            <w:vAlign w:val="center"/>
          </w:tcPr>
          <w:p>
            <w:pPr>
              <w:spacing w:line="240" w:lineRule="atLeast"/>
              <w:ind w:firstLine="28"/>
              <w:jc w:val="center"/>
              <w:rPr>
                <w:rFonts w:ascii="仿宋" w:hAnsi="仿宋" w:eastAsia="仿宋"/>
                <w:sz w:val="22"/>
                <w:szCs w:val="22"/>
              </w:rPr>
            </w:pPr>
          </w:p>
        </w:tc>
        <w:tc>
          <w:tcPr>
            <w:tcW w:w="1957" w:type="dxa"/>
            <w:vMerge w:val="continue"/>
            <w:vAlign w:val="center"/>
          </w:tcPr>
          <w:p>
            <w:pPr>
              <w:spacing w:line="400" w:lineRule="exact"/>
              <w:rPr>
                <w:rFonts w:ascii="仿宋" w:hAnsi="仿宋" w:eastAsia="仿宋" w:cs="仿宋"/>
                <w:sz w:val="22"/>
                <w:szCs w:val="22"/>
              </w:rPr>
            </w:pPr>
          </w:p>
        </w:tc>
        <w:tc>
          <w:tcPr>
            <w:tcW w:w="708" w:type="dxa"/>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业绩15分</w:t>
            </w:r>
          </w:p>
        </w:tc>
        <w:tc>
          <w:tcPr>
            <w:tcW w:w="3757" w:type="dxa"/>
            <w:vAlign w:val="center"/>
          </w:tcPr>
          <w:p>
            <w:pPr>
              <w:spacing w:line="240" w:lineRule="atLeast"/>
              <w:ind w:firstLine="28"/>
              <w:jc w:val="left"/>
              <w:rPr>
                <w:rFonts w:ascii="仿宋" w:hAnsi="仿宋" w:eastAsia="仿宋"/>
                <w:sz w:val="22"/>
                <w:szCs w:val="22"/>
              </w:rPr>
            </w:pPr>
            <w:r>
              <w:rPr>
                <w:rFonts w:hint="eastAsia" w:ascii="宋体" w:hAnsi="宋体" w:cs="宋体"/>
                <w:sz w:val="21"/>
                <w:szCs w:val="21"/>
              </w:rPr>
              <w:t>6.有过类似项目业绩的一个得3分，满分15分；</w:t>
            </w:r>
          </w:p>
        </w:tc>
        <w:tc>
          <w:tcPr>
            <w:tcW w:w="2469" w:type="dxa"/>
            <w:vAlign w:val="center"/>
          </w:tcPr>
          <w:p>
            <w:pPr>
              <w:spacing w:line="240" w:lineRule="atLeast"/>
              <w:ind w:firstLine="28"/>
              <w:jc w:val="center"/>
              <w:rPr>
                <w:rFonts w:ascii="仿宋" w:hAnsi="仿宋" w:eastAsia="仿宋"/>
                <w:sz w:val="22"/>
                <w:szCs w:val="22"/>
              </w:rPr>
            </w:pPr>
            <w:r>
              <w:rPr>
                <w:rFonts w:hint="eastAsia" w:ascii="仿宋" w:hAnsi="仿宋" w:eastAsia="仿宋"/>
                <w:sz w:val="22"/>
                <w:szCs w:val="22"/>
              </w:rPr>
              <w:t>提供合同复印件并加盖公章</w:t>
            </w:r>
          </w:p>
        </w:tc>
      </w:tr>
    </w:tbl>
    <w:p>
      <w:pPr>
        <w:rPr>
          <w:sz w:val="32"/>
          <w:szCs w:val="21"/>
        </w:rPr>
      </w:pPr>
    </w:p>
    <w:p>
      <w:pPr>
        <w:pStyle w:val="2"/>
      </w:pPr>
    </w:p>
    <w:p>
      <w:pPr>
        <w:snapToGrid w:val="0"/>
        <w:spacing w:line="400" w:lineRule="exact"/>
        <w:rPr>
          <w:rFonts w:ascii="仿宋" w:hAnsi="仿宋" w:eastAsia="仿宋"/>
          <w:sz w:val="24"/>
          <w:szCs w:val="24"/>
        </w:rPr>
      </w:pP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政策性加分的相关说明：</w:t>
      </w:r>
    </w:p>
    <w:p>
      <w:pPr>
        <w:snapToGrid w:val="0"/>
        <w:spacing w:line="400" w:lineRule="exact"/>
        <w:ind w:firstLine="465"/>
        <w:rPr>
          <w:rFonts w:ascii="仿宋" w:hAnsi="仿宋" w:eastAsia="仿宋"/>
          <w:sz w:val="24"/>
          <w:szCs w:val="24"/>
        </w:rPr>
      </w:pPr>
      <w:r>
        <w:rPr>
          <w:rFonts w:hint="eastAsia" w:ascii="仿宋" w:hAnsi="仿宋" w:eastAsia="仿宋"/>
          <w:sz w:val="24"/>
          <w:szCs w:val="24"/>
        </w:rPr>
        <w:t>注</w:t>
      </w:r>
      <w:r>
        <w:rPr>
          <w:rFonts w:ascii="仿宋" w:hAnsi="仿宋" w:eastAsia="仿宋"/>
          <w:sz w:val="21"/>
          <w:szCs w:val="21"/>
        </w:rPr>
        <w:fldChar w:fldCharType="begin"/>
      </w:r>
      <w:r>
        <w:rPr>
          <w:rFonts w:ascii="仿宋" w:hAnsi="仿宋" w:eastAsia="仿宋"/>
          <w:sz w:val="21"/>
          <w:szCs w:val="21"/>
        </w:rPr>
        <w:instrText xml:space="preserve"> </w:instrText>
      </w:r>
      <w:r>
        <w:rPr>
          <w:rFonts w:hint="eastAsia" w:ascii="仿宋" w:hAnsi="仿宋" w:eastAsia="仿宋"/>
          <w:sz w:val="21"/>
          <w:szCs w:val="21"/>
        </w:rPr>
        <w:instrText xml:space="preserve">eq \o\ac(○,</w:instrText>
      </w:r>
      <w:r>
        <w:rPr>
          <w:rFonts w:hint="eastAsia" w:ascii="仿宋" w:hAnsi="仿宋" w:eastAsia="仿宋"/>
          <w:position w:val="2"/>
          <w:sz w:val="14"/>
          <w:szCs w:val="21"/>
        </w:rPr>
        <w:instrText xml:space="preserve">4</w:instrText>
      </w:r>
      <w:r>
        <w:rPr>
          <w:rFonts w:hint="eastAsia" w:ascii="仿宋" w:hAnsi="仿宋" w:eastAsia="仿宋"/>
          <w:sz w:val="21"/>
          <w:szCs w:val="21"/>
        </w:rPr>
        <w:instrText xml:space="preserve">)</w:instrText>
      </w:r>
      <w:r>
        <w:rPr>
          <w:rFonts w:ascii="仿宋" w:hAnsi="仿宋" w:eastAsia="仿宋"/>
          <w:sz w:val="21"/>
          <w:szCs w:val="21"/>
        </w:rPr>
        <w:fldChar w:fldCharType="end"/>
      </w:r>
      <w:r>
        <w:rPr>
          <w:rFonts w:hint="eastAsia" w:ascii="仿宋" w:hAnsi="仿宋" w:eastAsia="仿宋"/>
          <w:sz w:val="24"/>
          <w:szCs w:val="24"/>
        </w:rPr>
        <w:t>：关于小微企业报价扣除比例说明</w:t>
      </w:r>
    </w:p>
    <w:p>
      <w:pPr>
        <w:snapToGrid w:val="0"/>
        <w:spacing w:line="400" w:lineRule="exact"/>
        <w:ind w:firstLine="465"/>
        <w:rPr>
          <w:rFonts w:ascii="仿宋" w:hAnsi="仿宋" w:eastAsia="仿宋"/>
          <w:sz w:val="24"/>
          <w:szCs w:val="24"/>
        </w:rPr>
      </w:pPr>
      <w:r>
        <w:rPr>
          <w:rFonts w:hint="eastAsia" w:ascii="仿宋" w:hAnsi="仿宋" w:eastAsia="仿宋"/>
          <w:sz w:val="24"/>
          <w:szCs w:val="24"/>
        </w:rPr>
        <w:t>1.关于小微企业：</w:t>
      </w:r>
    </w:p>
    <w:p>
      <w:pPr>
        <w:snapToGrid w:val="0"/>
        <w:spacing w:line="400" w:lineRule="exact"/>
        <w:ind w:firstLine="465"/>
        <w:rPr>
          <w:rFonts w:ascii="仿宋" w:hAnsi="仿宋" w:eastAsia="仿宋"/>
          <w:sz w:val="24"/>
          <w:szCs w:val="24"/>
        </w:rPr>
      </w:pPr>
      <w:r>
        <w:rPr>
          <w:rFonts w:hint="eastAsia" w:ascii="仿宋" w:hAnsi="仿宋" w:eastAsia="仿宋"/>
          <w:sz w:val="24"/>
          <w:szCs w:val="24"/>
        </w:rPr>
        <w:t>按&lt;关于印发《政府采购促进中小企业发展暂行办法》的通知&gt;（财库〔2011〕181号）之规定，中小企业的标准为：</w:t>
      </w:r>
    </w:p>
    <w:p>
      <w:pPr>
        <w:snapToGrid w:val="0"/>
        <w:spacing w:line="400" w:lineRule="exact"/>
        <w:ind w:firstLine="465"/>
        <w:rPr>
          <w:rFonts w:ascii="仿宋" w:hAnsi="仿宋" w:eastAsia="仿宋"/>
          <w:sz w:val="24"/>
          <w:szCs w:val="24"/>
        </w:rPr>
      </w:pPr>
      <w:r>
        <w:rPr>
          <w:rFonts w:hint="eastAsia" w:ascii="仿宋" w:hAnsi="仿宋" w:eastAsia="仿宋"/>
          <w:sz w:val="24"/>
          <w:szCs w:val="24"/>
        </w:rPr>
        <w:t>1.1提供本企业制造的货物、承担的工程或者服务，或者提供其他中小企业制造的货物，不包括提供或使用大型企业注册商标的货物。</w:t>
      </w:r>
    </w:p>
    <w:p>
      <w:pPr>
        <w:snapToGrid w:val="0"/>
        <w:spacing w:line="400" w:lineRule="exact"/>
        <w:ind w:firstLine="465"/>
        <w:rPr>
          <w:rFonts w:ascii="仿宋" w:hAnsi="仿宋" w:eastAsia="仿宋"/>
          <w:sz w:val="24"/>
          <w:szCs w:val="24"/>
        </w:rPr>
      </w:pPr>
      <w:r>
        <w:rPr>
          <w:rFonts w:hint="eastAsia" w:ascii="仿宋" w:hAnsi="仿宋" w:eastAsia="仿宋"/>
          <w:sz w:val="24"/>
          <w:szCs w:val="24"/>
        </w:rPr>
        <w:t>1.2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pPr>
        <w:snapToGrid w:val="0"/>
        <w:spacing w:line="400" w:lineRule="exact"/>
        <w:ind w:firstLine="465"/>
        <w:rPr>
          <w:rFonts w:ascii="仿宋" w:hAnsi="仿宋" w:eastAsia="仿宋"/>
          <w:sz w:val="24"/>
          <w:szCs w:val="24"/>
        </w:rPr>
      </w:pPr>
      <w:r>
        <w:rPr>
          <w:rFonts w:hint="eastAsia" w:ascii="仿宋" w:hAnsi="仿宋" w:eastAsia="仿宋"/>
          <w:sz w:val="24"/>
          <w:szCs w:val="24"/>
        </w:rPr>
        <w:t>1.3小型、微型企业提供有中型企业制造的货物的，视同为中型企业；小型、微型、中型企业提供有大型企业制造的货物的，视同为大型企业。</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2.依照&lt;财政部、司法部关于政府采购支持监狱企业发展有关问题的通知&gt;（财库〔2014〕68号）之规定，监狱企业应当符合以下条件：</w:t>
      </w:r>
    </w:p>
    <w:p>
      <w:pPr>
        <w:snapToGrid w:val="0"/>
        <w:spacing w:line="400" w:lineRule="exact"/>
        <w:ind w:firstLine="480" w:firstLineChars="200"/>
        <w:rPr>
          <w:rFonts w:ascii="仿宋" w:hAnsi="仿宋" w:eastAsia="仿宋"/>
          <w:sz w:val="24"/>
          <w:szCs w:val="24"/>
        </w:rPr>
      </w:pP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400" w:lineRule="exact"/>
        <w:ind w:firstLine="465"/>
        <w:rPr>
          <w:rFonts w:ascii="仿宋" w:hAnsi="仿宋" w:eastAsia="仿宋"/>
          <w:sz w:val="24"/>
          <w:szCs w:val="24"/>
        </w:rPr>
      </w:pPr>
      <w:r>
        <w:rPr>
          <w:rFonts w:hint="eastAsia" w:ascii="仿宋" w:hAnsi="仿宋" w:eastAsia="仿宋"/>
          <w:sz w:val="24"/>
          <w:szCs w:val="24"/>
        </w:rPr>
        <w:t>2. 2监狱企业参加政府采购活动时，视同小型、微型企业，应当提供由省级以上监狱管理局、戒毒管理局（含新疆生产建设兵团）出具的属于监狱企业的证明文件。</w:t>
      </w:r>
    </w:p>
    <w:p>
      <w:pPr>
        <w:snapToGrid w:val="0"/>
        <w:spacing w:line="400" w:lineRule="exact"/>
        <w:ind w:firstLine="465"/>
        <w:rPr>
          <w:rFonts w:ascii="仿宋" w:hAnsi="仿宋" w:eastAsia="仿宋"/>
          <w:sz w:val="24"/>
          <w:szCs w:val="24"/>
        </w:rPr>
      </w:pPr>
      <w:r>
        <w:rPr>
          <w:rFonts w:hint="eastAsia" w:ascii="仿宋" w:hAnsi="仿宋" w:eastAsia="仿宋"/>
          <w:sz w:val="24"/>
          <w:szCs w:val="24"/>
        </w:rPr>
        <w:t>3.具体报价扣除比例说明：</w:t>
      </w:r>
    </w:p>
    <w:p>
      <w:pPr>
        <w:snapToGrid w:val="0"/>
        <w:spacing w:line="400" w:lineRule="exact"/>
        <w:ind w:firstLine="465"/>
        <w:rPr>
          <w:rFonts w:ascii="仿宋" w:hAnsi="仿宋" w:eastAsia="仿宋"/>
          <w:sz w:val="24"/>
          <w:szCs w:val="24"/>
        </w:rPr>
      </w:pPr>
      <w:r>
        <w:rPr>
          <w:rFonts w:hint="eastAsia" w:ascii="仿宋" w:hAnsi="仿宋" w:eastAsia="仿宋"/>
          <w:sz w:val="24"/>
          <w:szCs w:val="24"/>
        </w:rPr>
        <w:t>3.1供应商为非联合体参与磋商的，对小型企业给予6%的扣除，微型企业给予8%的扣除（注册资金十五万及以下的微型企业给予10%的扣除），以扣除后的报价参与评审。</w:t>
      </w:r>
    </w:p>
    <w:p>
      <w:pPr>
        <w:pStyle w:val="5"/>
        <w:spacing w:before="0" w:after="0" w:line="400" w:lineRule="exact"/>
        <w:rPr>
          <w:rFonts w:ascii="仿宋" w:hAnsi="仿宋" w:eastAsia="仿宋"/>
          <w:sz w:val="24"/>
          <w:szCs w:val="24"/>
        </w:rPr>
      </w:pPr>
      <w:bookmarkStart w:id="52" w:name="_Toc19995"/>
      <w:r>
        <w:rPr>
          <w:rFonts w:hint="eastAsia" w:ascii="仿宋" w:hAnsi="仿宋" w:eastAsia="仿宋"/>
          <w:sz w:val="24"/>
          <w:szCs w:val="24"/>
        </w:rPr>
        <w:t>三、无效响应</w:t>
      </w:r>
      <w:bookmarkEnd w:id="52"/>
    </w:p>
    <w:p>
      <w:pPr>
        <w:snapToGrid w:val="0"/>
        <w:spacing w:line="400" w:lineRule="exact"/>
        <w:ind w:firstLine="465"/>
        <w:rPr>
          <w:rFonts w:ascii="仿宋" w:hAnsi="仿宋" w:eastAsia="仿宋"/>
          <w:sz w:val="24"/>
          <w:szCs w:val="24"/>
        </w:rPr>
      </w:pPr>
      <w:r>
        <w:rPr>
          <w:rFonts w:hint="eastAsia" w:ascii="仿宋" w:hAnsi="仿宋" w:eastAsia="仿宋"/>
          <w:sz w:val="24"/>
          <w:szCs w:val="24"/>
        </w:rPr>
        <w:t>供应商发生以下条款情况之一者，视为无效响应，其响应文件将被拒绝：</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（一）供应商不符合规定的基本资格条件或特定资格条件的；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（二）供应商的法定代表人或其授权代表未参加磋商；</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（三）供应商未按照竞争性磋商文件的要求缴纳磋商保证金；</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（四）供应商所提交的响应文件不按第七篇“响应文件编制要求”规定签字、盖章；</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（五）供应商的最后报价超过采购预算的；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w:t>
      </w:r>
      <w:r>
        <w:rPr>
          <w:rFonts w:ascii="仿宋" w:hAnsi="仿宋" w:eastAsia="仿宋"/>
          <w:sz w:val="24"/>
          <w:szCs w:val="24"/>
        </w:rPr>
        <w:t>为采购项目提供整体设计、规范编制或者项目管理、监理、检测等服务的供应商，再参加</w:t>
      </w:r>
      <w:r>
        <w:rPr>
          <w:rFonts w:hint="eastAsia" w:ascii="仿宋" w:hAnsi="仿宋" w:eastAsia="仿宋"/>
          <w:sz w:val="24"/>
          <w:szCs w:val="24"/>
        </w:rPr>
        <w:t>该采购</w:t>
      </w:r>
      <w:r>
        <w:rPr>
          <w:rFonts w:ascii="仿宋" w:hAnsi="仿宋" w:eastAsia="仿宋"/>
          <w:sz w:val="24"/>
          <w:szCs w:val="24"/>
        </w:rPr>
        <w:t>项目的</w:t>
      </w:r>
      <w:r>
        <w:rPr>
          <w:rFonts w:hint="eastAsia" w:ascii="仿宋" w:hAnsi="仿宋" w:eastAsia="仿宋"/>
          <w:sz w:val="24"/>
          <w:szCs w:val="24"/>
        </w:rPr>
        <w:t>其他</w:t>
      </w:r>
      <w:r>
        <w:rPr>
          <w:rFonts w:ascii="仿宋" w:hAnsi="仿宋" w:eastAsia="仿宋"/>
          <w:sz w:val="24"/>
          <w:szCs w:val="24"/>
        </w:rPr>
        <w:t>采购活动</w:t>
      </w:r>
      <w:r>
        <w:rPr>
          <w:rFonts w:hint="eastAsia" w:ascii="仿宋" w:hAnsi="仿宋" w:eastAsia="仿宋"/>
          <w:sz w:val="24"/>
          <w:szCs w:val="24"/>
        </w:rPr>
        <w:t>；</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（九）供应商的服务期、质量保证期及磋商有效期不满足竞争性磋商文件要求的；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（十）供应商响应文件内容有与国家现行法律法规相违背的内容，或附有采购人无法接受的条件。</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（十一）以联合体形式参与磋商的。</w:t>
      </w:r>
    </w:p>
    <w:p>
      <w:pPr>
        <w:pStyle w:val="5"/>
        <w:spacing w:before="0" w:after="0" w:line="400" w:lineRule="exact"/>
        <w:rPr>
          <w:rFonts w:ascii="仿宋" w:hAnsi="仿宋" w:eastAsia="仿宋"/>
          <w:sz w:val="24"/>
          <w:szCs w:val="24"/>
        </w:rPr>
      </w:pPr>
      <w:bookmarkStart w:id="53" w:name="_Toc30283"/>
      <w:r>
        <w:rPr>
          <w:rFonts w:hint="eastAsia" w:ascii="仿宋" w:hAnsi="仿宋" w:eastAsia="仿宋"/>
          <w:sz w:val="24"/>
          <w:szCs w:val="24"/>
        </w:rPr>
        <w:t>四、</w:t>
      </w:r>
      <w:bookmarkEnd w:id="50"/>
      <w:bookmarkEnd w:id="51"/>
      <w:r>
        <w:rPr>
          <w:rFonts w:hint="eastAsia" w:ascii="仿宋" w:hAnsi="仿宋" w:eastAsia="仿宋"/>
          <w:sz w:val="24"/>
          <w:szCs w:val="24"/>
        </w:rPr>
        <w:t>采购终止</w:t>
      </w:r>
      <w:bookmarkEnd w:id="53"/>
    </w:p>
    <w:p>
      <w:pPr>
        <w:snapToGrid w:val="0"/>
        <w:spacing w:line="400" w:lineRule="exact"/>
        <w:ind w:firstLine="465"/>
        <w:rPr>
          <w:rFonts w:ascii="仿宋" w:hAnsi="仿宋" w:eastAsia="仿宋"/>
          <w:sz w:val="24"/>
          <w:szCs w:val="24"/>
        </w:rPr>
      </w:pPr>
      <w:r>
        <w:rPr>
          <w:rFonts w:hint="eastAsia" w:ascii="仿宋" w:hAnsi="仿宋" w:eastAsia="仿宋"/>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（一）因情况变化，不再符合规定的竞争性磋商采购方式适用情形的；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（二）出现影响采购公正的违法、违规行为的；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（三）在采购过程中符合要求的供应商或者报价未超过采购预算的供应商不足3家的，但《政府采购竞争性磋商采购方式管理暂行办法》第二十一条第三款规定的情形</w:t>
      </w:r>
      <w:r>
        <w:rPr>
          <w:rFonts w:ascii="仿宋" w:hAnsi="仿宋" w:eastAsia="仿宋"/>
          <w:sz w:val="24"/>
          <w:szCs w:val="24"/>
        </w:rPr>
        <w:t>,</w:t>
      </w:r>
      <w:r>
        <w:rPr>
          <w:rFonts w:hint="eastAsia" w:ascii="仿宋" w:hAnsi="仿宋" w:eastAsia="仿宋"/>
          <w:sz w:val="24"/>
          <w:szCs w:val="24"/>
        </w:rPr>
        <w:t>以及财政部财库[2015]124号文件规定的情形除外。</w:t>
      </w:r>
    </w:p>
    <w:p>
      <w:pPr>
        <w:snapToGrid w:val="0"/>
        <w:spacing w:line="400" w:lineRule="exact"/>
        <w:ind w:firstLine="465"/>
        <w:rPr>
          <w:rFonts w:ascii="仿宋" w:hAnsi="仿宋" w:eastAsia="仿宋"/>
          <w:sz w:val="24"/>
          <w:szCs w:val="24"/>
        </w:rPr>
      </w:pPr>
    </w:p>
    <w:p>
      <w:pPr>
        <w:spacing w:line="360" w:lineRule="auto"/>
        <w:ind w:firstLine="480" w:firstLineChars="200"/>
        <w:rPr>
          <w:rFonts w:ascii="仿宋" w:hAnsi="仿宋" w:eastAsia="仿宋"/>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4"/>
        <w:spacing w:line="360" w:lineRule="auto"/>
        <w:jc w:val="center"/>
        <w:rPr>
          <w:rFonts w:ascii="仿宋" w:hAnsi="仿宋" w:eastAsia="仿宋"/>
          <w:b w:val="0"/>
          <w:szCs w:val="30"/>
        </w:rPr>
      </w:pPr>
      <w:bookmarkStart w:id="54" w:name="_Toc102227313"/>
      <w:bookmarkStart w:id="55" w:name="_Toc11249"/>
      <w:r>
        <w:rPr>
          <w:rFonts w:hint="eastAsia" w:ascii="仿宋" w:hAnsi="仿宋" w:eastAsia="仿宋"/>
          <w:b w:val="0"/>
          <w:sz w:val="36"/>
          <w:szCs w:val="30"/>
        </w:rPr>
        <w:t>第五篇  供应商须知</w:t>
      </w:r>
      <w:bookmarkEnd w:id="54"/>
      <w:bookmarkEnd w:id="55"/>
    </w:p>
    <w:p>
      <w:pPr>
        <w:pStyle w:val="5"/>
        <w:spacing w:before="0" w:after="0" w:line="440" w:lineRule="exact"/>
        <w:rPr>
          <w:rFonts w:ascii="仿宋" w:hAnsi="仿宋" w:eastAsia="仿宋"/>
          <w:sz w:val="24"/>
          <w:szCs w:val="24"/>
        </w:rPr>
      </w:pPr>
      <w:bookmarkStart w:id="56" w:name="_Toc342913389"/>
      <w:bookmarkStart w:id="57" w:name="_Toc9232"/>
      <w:r>
        <w:rPr>
          <w:rFonts w:hint="eastAsia" w:ascii="仿宋" w:hAnsi="仿宋" w:eastAsia="仿宋"/>
          <w:sz w:val="24"/>
          <w:szCs w:val="24"/>
        </w:rPr>
        <w:t>一、磋商费用</w:t>
      </w:r>
      <w:bookmarkEnd w:id="56"/>
      <w:bookmarkEnd w:id="57"/>
    </w:p>
    <w:p>
      <w:pPr>
        <w:pStyle w:val="178"/>
        <w:spacing w:line="400" w:lineRule="exact"/>
        <w:ind w:firstLine="480" w:firstLineChars="200"/>
        <w:rPr>
          <w:rFonts w:ascii="仿宋" w:hAnsi="仿宋" w:eastAsia="仿宋"/>
          <w:sz w:val="24"/>
          <w:szCs w:val="24"/>
        </w:rPr>
      </w:pPr>
      <w:r>
        <w:rPr>
          <w:rFonts w:hint="eastAsia" w:ascii="仿宋" w:hAnsi="仿宋" w:eastAsia="仿宋"/>
          <w:sz w:val="24"/>
          <w:szCs w:val="24"/>
        </w:rPr>
        <w:t>参与磋商的供应商应承担其编制响应文件与递交响应文件所涉及的一切费用，不论磋商结果如何，采购人和采购代理机构在任何情况下无义务也无责任承担这些费用。</w:t>
      </w:r>
    </w:p>
    <w:p>
      <w:pPr>
        <w:pStyle w:val="5"/>
        <w:tabs>
          <w:tab w:val="left" w:pos="2640"/>
        </w:tabs>
        <w:spacing w:before="0" w:after="0" w:line="400" w:lineRule="exact"/>
        <w:rPr>
          <w:rFonts w:ascii="仿宋" w:hAnsi="仿宋" w:eastAsia="仿宋"/>
          <w:sz w:val="24"/>
          <w:szCs w:val="24"/>
        </w:rPr>
      </w:pPr>
      <w:bookmarkStart w:id="58" w:name="_Toc342913391"/>
      <w:bookmarkStart w:id="59" w:name="_Toc17776"/>
      <w:r>
        <w:rPr>
          <w:rFonts w:hint="eastAsia" w:ascii="仿宋" w:hAnsi="仿宋" w:eastAsia="仿宋"/>
          <w:sz w:val="24"/>
          <w:szCs w:val="24"/>
        </w:rPr>
        <w:t>二、竞争性磋商文件</w:t>
      </w:r>
      <w:bookmarkEnd w:id="58"/>
      <w:bookmarkEnd w:id="59"/>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（一）竞争性磋商文件由采购邀请书，供应商须知，采购服务需求，采购商务需求，磋商程序及方法、评审标准、无效响应和采购终止，合同草案条款、响应文件编制要求七部分组成。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w:t>
      </w:r>
      <w:bookmarkStart w:id="60" w:name="_Toc318159780"/>
      <w:bookmarkStart w:id="61" w:name="_Toc318166429"/>
      <w:bookmarkStart w:id="62" w:name="_Toc318159160"/>
      <w:bookmarkStart w:id="63" w:name="_Toc318159349"/>
      <w:r>
        <w:rPr>
          <w:rFonts w:hint="eastAsia" w:ascii="仿宋" w:hAnsi="仿宋" w:eastAsia="仿宋"/>
          <w:sz w:val="24"/>
          <w:szCs w:val="24"/>
        </w:rPr>
        <w:t>本竞争性磋商文件中，磋商小组根据与供应商进行磋商可能实质性变动的内容为竞争性磋商文件第三、四、五篇全部内容。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（四）评审的依据为竞争性磋商文件和响应文件（含有效的书面承诺）。磋商小组判断响应文件对竞争性磋商文件的响应，仅基于响应文件本身而不靠外部证据。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（五）本磋商文件中若存在相关产品的具体品牌、型号，均不作为指定要求，而仅为技术水平、产品品质的客观参考。</w:t>
      </w:r>
    </w:p>
    <w:bookmarkEnd w:id="60"/>
    <w:bookmarkEnd w:id="61"/>
    <w:bookmarkEnd w:id="62"/>
    <w:bookmarkEnd w:id="63"/>
    <w:p>
      <w:pPr>
        <w:pStyle w:val="5"/>
        <w:spacing w:before="0" w:after="0" w:line="400" w:lineRule="exact"/>
        <w:rPr>
          <w:rFonts w:ascii="仿宋" w:hAnsi="仿宋" w:eastAsia="仿宋"/>
          <w:sz w:val="24"/>
          <w:szCs w:val="24"/>
        </w:rPr>
      </w:pPr>
      <w:bookmarkStart w:id="64" w:name="_Toc102227318"/>
      <w:bookmarkStart w:id="65" w:name="_Toc179714297"/>
      <w:bookmarkStart w:id="66" w:name="_Toc342913392"/>
      <w:bookmarkStart w:id="67" w:name="_Toc1348"/>
      <w:r>
        <w:rPr>
          <w:rFonts w:hint="eastAsia" w:ascii="仿宋" w:hAnsi="仿宋" w:eastAsia="仿宋"/>
          <w:sz w:val="24"/>
          <w:szCs w:val="24"/>
        </w:rPr>
        <w:t>三、磋商要求</w:t>
      </w:r>
      <w:bookmarkEnd w:id="64"/>
      <w:bookmarkEnd w:id="65"/>
      <w:bookmarkEnd w:id="66"/>
      <w:bookmarkEnd w:id="67"/>
    </w:p>
    <w:p>
      <w:pPr>
        <w:spacing w:line="400" w:lineRule="exact"/>
        <w:ind w:firstLine="480" w:firstLineChars="200"/>
        <w:rPr>
          <w:rFonts w:ascii="仿宋" w:hAnsi="仿宋" w:eastAsia="仿宋"/>
          <w:sz w:val="24"/>
          <w:szCs w:val="24"/>
        </w:rPr>
      </w:pPr>
      <w:r>
        <w:rPr>
          <w:rFonts w:hint="eastAsia" w:ascii="仿宋" w:hAnsi="仿宋" w:eastAsia="仿宋"/>
          <w:sz w:val="24"/>
          <w:szCs w:val="24"/>
        </w:rPr>
        <w:t>（一）响应文件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2、响应文件组成</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（二）磋商有效期：响应文件及有关承诺文件有效期为提交响应文件截止时间起90天。</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（三）磋商保证金：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1、供应商提交保证金金额和方式详见“</w:t>
      </w:r>
      <w:r>
        <w:rPr>
          <w:rFonts w:hint="eastAsia" w:ascii="仿宋" w:hAnsi="仿宋" w:eastAsia="仿宋"/>
          <w:b/>
          <w:sz w:val="24"/>
          <w:szCs w:val="24"/>
          <w:u w:val="single"/>
        </w:rPr>
        <w:t>第一篇  五、磋商保证金”</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2、发生以下情况之一者，磋商保证金不予退还：</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2.3除因不可抗力或竞争性磋商文件认可的情形以外，成交供应商不与采购人签订合同的；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2.5成交供应商不按规定的时间或拒绝按成交状态签订合同（即不按照采购文件确定的合同文本以及采购标的、规格型号、采购金额、采购数量、技术和服务要求等事项签订政府采购合同的。）。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（五）修正错误</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1、若供应商所递交的响应文件或最后报价中的价格出现大写金额和小写金额不一致的错误，以大写金额修正为准。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（六）提交响应文件的份数和签署</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1、响应文件一式两份，其中正本一份，副本一份。副本可为正本的复印件，应与正本一致，如出现不一致情况以正本为准。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（七）响应文件的递交</w:t>
      </w:r>
    </w:p>
    <w:p>
      <w:pPr>
        <w:snapToGrid w:val="0"/>
        <w:spacing w:line="400" w:lineRule="exact"/>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szCs w:val="24"/>
        </w:rPr>
        <w:t xml:space="preserve"> 响应文件</w:t>
      </w:r>
      <w:r>
        <w:rPr>
          <w:rFonts w:hint="eastAsia" w:ascii="仿宋" w:hAnsi="仿宋" w:eastAsia="仿宋"/>
          <w:sz w:val="24"/>
        </w:rPr>
        <w:t>的密封</w:t>
      </w:r>
    </w:p>
    <w:p>
      <w:pPr>
        <w:snapToGrid w:val="0"/>
        <w:spacing w:line="400" w:lineRule="exact"/>
        <w:ind w:firstLine="480" w:firstLineChars="200"/>
        <w:rPr>
          <w:rFonts w:ascii="仿宋" w:hAnsi="仿宋" w:eastAsia="仿宋"/>
          <w:sz w:val="24"/>
        </w:rPr>
      </w:pPr>
      <w:r>
        <w:rPr>
          <w:rFonts w:hint="eastAsia" w:ascii="仿宋" w:hAnsi="仿宋" w:eastAsia="仿宋"/>
          <w:sz w:val="24"/>
        </w:rPr>
        <w:t>1.1</w:t>
      </w:r>
      <w:r>
        <w:rPr>
          <w:rFonts w:hint="eastAsia" w:ascii="仿宋" w:hAnsi="仿宋" w:eastAsia="仿宋"/>
          <w:sz w:val="24"/>
          <w:szCs w:val="24"/>
        </w:rPr>
        <w:t>响应文件</w:t>
      </w:r>
      <w:r>
        <w:rPr>
          <w:rFonts w:hint="eastAsia" w:ascii="仿宋" w:hAnsi="仿宋" w:eastAsia="仿宋"/>
          <w:sz w:val="24"/>
        </w:rPr>
        <w:t>的正本、副本均应密封送达</w:t>
      </w:r>
      <w:r>
        <w:rPr>
          <w:rFonts w:hint="eastAsia" w:ascii="仿宋" w:hAnsi="仿宋" w:eastAsia="仿宋"/>
          <w:sz w:val="24"/>
          <w:szCs w:val="24"/>
        </w:rPr>
        <w:t>递交响应文件地点</w:t>
      </w:r>
      <w:r>
        <w:rPr>
          <w:rFonts w:hint="eastAsia" w:ascii="仿宋" w:hAnsi="仿宋" w:eastAsia="仿宋"/>
          <w:sz w:val="24"/>
        </w:rPr>
        <w:t>，应在封套上注明项目名称、供应商名称。若正本、副本分别进行密封的，还应在封套上注明“正本”、“副本”字样。</w:t>
      </w:r>
    </w:p>
    <w:p>
      <w:pPr>
        <w:snapToGrid w:val="0"/>
        <w:spacing w:line="400" w:lineRule="exact"/>
        <w:ind w:firstLine="480" w:firstLineChars="200"/>
        <w:rPr>
          <w:rFonts w:ascii="仿宋" w:hAnsi="仿宋" w:eastAsia="仿宋"/>
          <w:sz w:val="24"/>
        </w:rPr>
      </w:pPr>
      <w:r>
        <w:rPr>
          <w:rFonts w:hint="eastAsia" w:ascii="仿宋" w:hAnsi="仿宋" w:eastAsia="仿宋"/>
          <w:sz w:val="24"/>
        </w:rPr>
        <w:t>1.2封套的封口处应加盖供应商公章或由法定代表人授权代表签字。</w:t>
      </w:r>
    </w:p>
    <w:p>
      <w:pPr>
        <w:snapToGrid w:val="0"/>
        <w:spacing w:line="400" w:lineRule="exact"/>
        <w:ind w:firstLine="480" w:firstLineChars="200"/>
        <w:rPr>
          <w:rFonts w:ascii="仿宋" w:hAnsi="仿宋" w:eastAsia="仿宋"/>
          <w:sz w:val="24"/>
          <w:szCs w:val="24"/>
        </w:rPr>
      </w:pPr>
      <w:r>
        <w:rPr>
          <w:rFonts w:hint="eastAsia" w:ascii="仿宋" w:hAnsi="仿宋" w:eastAsia="仿宋"/>
          <w:sz w:val="24"/>
        </w:rPr>
        <w:t>2.如果未按上述规定进行密封，采购代理机构对响应文件误投、丢失或提前拆封不负责任。</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（八）供应商参与人员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各个供应商应当派1-2名代表参与磋商，至少1人应为法定代表人或具有法定代表人授权委托书的授权代表。</w:t>
      </w:r>
    </w:p>
    <w:p>
      <w:pPr>
        <w:pStyle w:val="5"/>
        <w:spacing w:before="0" w:after="0" w:line="400" w:lineRule="exact"/>
        <w:rPr>
          <w:rFonts w:ascii="仿宋" w:hAnsi="仿宋" w:eastAsia="仿宋"/>
          <w:sz w:val="24"/>
          <w:szCs w:val="24"/>
        </w:rPr>
      </w:pPr>
      <w:bookmarkStart w:id="68" w:name="_Toc22109"/>
      <w:r>
        <w:rPr>
          <w:rFonts w:hint="eastAsia" w:ascii="仿宋" w:hAnsi="仿宋" w:eastAsia="仿宋"/>
          <w:sz w:val="24"/>
          <w:szCs w:val="24"/>
        </w:rPr>
        <w:t>四、成交供应商的确认和变更</w:t>
      </w:r>
      <w:bookmarkEnd w:id="68"/>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（一）成交供应商的确认</w:t>
      </w:r>
    </w:p>
    <w:p>
      <w:pPr>
        <w:snapToGrid w:val="0"/>
        <w:spacing w:line="400" w:lineRule="exact"/>
        <w:ind w:firstLine="480" w:firstLineChars="200"/>
        <w:rPr>
          <w:rFonts w:ascii="仿宋" w:hAnsi="仿宋" w:eastAsia="仿宋"/>
          <w:sz w:val="24"/>
          <w:szCs w:val="24"/>
        </w:rPr>
      </w:pPr>
      <w:r>
        <w:rPr>
          <w:rFonts w:ascii="仿宋" w:hAnsi="仿宋" w:eastAsia="仿宋"/>
          <w:sz w:val="24"/>
          <w:szCs w:val="24"/>
        </w:rPr>
        <w:t>采购代理机构应当在评审结束后2个工作日内将评审报告送采购人确认。采购人应当在收到评审报告后5个工作日内</w:t>
      </w:r>
      <w:r>
        <w:rPr>
          <w:rFonts w:hint="eastAsia" w:ascii="仿宋" w:hAnsi="仿宋" w:eastAsia="仿宋"/>
          <w:sz w:val="24"/>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（二）成交供应商的变更</w:t>
      </w:r>
    </w:p>
    <w:p>
      <w:pPr>
        <w:snapToGrid w:val="0"/>
        <w:spacing w:line="400" w:lineRule="exact"/>
        <w:ind w:firstLine="480" w:firstLineChars="200"/>
        <w:rPr>
          <w:rFonts w:ascii="仿宋" w:hAnsi="仿宋" w:eastAsia="仿宋"/>
          <w:sz w:val="24"/>
          <w:szCs w:val="24"/>
        </w:rPr>
      </w:pPr>
      <w:bookmarkStart w:id="69" w:name="_Toc342913395"/>
      <w:bookmarkStart w:id="70" w:name="_Toc102227321"/>
      <w:r>
        <w:rPr>
          <w:rFonts w:hint="eastAsia" w:ascii="仿宋" w:hAnsi="仿宋" w:eastAsia="仿宋"/>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2、成交供应商无充分理由放弃成交的，采购人将会同采购代理机构把相关情况报财政部门，财政部门将根据财政部十八号令第七十五条的规定对违规供应商进行处罚。</w:t>
      </w:r>
    </w:p>
    <w:p>
      <w:pPr>
        <w:pStyle w:val="5"/>
        <w:spacing w:before="0" w:after="0" w:line="400" w:lineRule="exact"/>
        <w:rPr>
          <w:rFonts w:ascii="仿宋" w:hAnsi="仿宋" w:eastAsia="仿宋"/>
          <w:sz w:val="24"/>
          <w:szCs w:val="24"/>
        </w:rPr>
      </w:pPr>
      <w:bookmarkStart w:id="71" w:name="_Toc31753"/>
      <w:r>
        <w:rPr>
          <w:rFonts w:hint="eastAsia" w:ascii="仿宋" w:hAnsi="仿宋" w:eastAsia="仿宋"/>
          <w:sz w:val="24"/>
          <w:szCs w:val="24"/>
        </w:rPr>
        <w:t>五、成交通知</w:t>
      </w:r>
      <w:bookmarkEnd w:id="69"/>
      <w:bookmarkEnd w:id="70"/>
      <w:bookmarkEnd w:id="71"/>
    </w:p>
    <w:p>
      <w:pPr>
        <w:spacing w:line="400" w:lineRule="exact"/>
        <w:ind w:firstLine="480" w:firstLineChars="200"/>
        <w:rPr>
          <w:rFonts w:ascii="仿宋" w:hAnsi="仿宋" w:eastAsia="仿宋"/>
          <w:sz w:val="24"/>
          <w:szCs w:val="24"/>
        </w:rPr>
      </w:pPr>
      <w:r>
        <w:rPr>
          <w:rFonts w:hint="eastAsia" w:ascii="仿宋" w:hAnsi="仿宋" w:eastAsia="仿宋"/>
          <w:sz w:val="24"/>
          <w:szCs w:val="24"/>
        </w:rPr>
        <w:t>（一）成交供应商确定后，采购代理机构将在重庆市殡葬事业管理中心网站（http://mzj.cq.gov.cn/cqbzglzx/html/index.html）上发布成交结果公告。</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（二）结果公告发出同时，采购代理机构将以书面形式发出《成交通知书》。《成交通知书》一经发出即发生法律效力。</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（三）《成交通知书》将作为签订合同的依据。</w:t>
      </w:r>
    </w:p>
    <w:p>
      <w:pPr>
        <w:spacing w:line="400" w:lineRule="exact"/>
        <w:ind w:firstLine="480" w:firstLineChars="200"/>
        <w:rPr>
          <w:rFonts w:ascii="仿宋" w:hAnsi="仿宋" w:eastAsia="仿宋"/>
        </w:rPr>
      </w:pPr>
      <w:r>
        <w:rPr>
          <w:rFonts w:hint="eastAsia" w:ascii="仿宋" w:hAnsi="仿宋" w:eastAsia="仿宋"/>
          <w:sz w:val="24"/>
          <w:szCs w:val="24"/>
        </w:rPr>
        <w:t>（四）如有供应商对成交结果提出质疑的，在质疑处理完毕后发出成交通知书。</w:t>
      </w:r>
    </w:p>
    <w:p>
      <w:pPr>
        <w:pStyle w:val="5"/>
        <w:spacing w:before="0" w:after="0" w:line="400" w:lineRule="exact"/>
        <w:rPr>
          <w:rFonts w:ascii="仿宋" w:hAnsi="仿宋" w:eastAsia="仿宋"/>
          <w:sz w:val="24"/>
          <w:szCs w:val="24"/>
        </w:rPr>
      </w:pPr>
      <w:bookmarkStart w:id="72" w:name="_Toc8206"/>
      <w:r>
        <w:rPr>
          <w:rFonts w:hint="eastAsia" w:ascii="仿宋" w:hAnsi="仿宋" w:eastAsia="仿宋"/>
          <w:sz w:val="24"/>
          <w:szCs w:val="24"/>
        </w:rPr>
        <w:t>六、关于质疑和投诉</w:t>
      </w:r>
      <w:bookmarkEnd w:id="72"/>
    </w:p>
    <w:p>
      <w:pPr>
        <w:spacing w:line="400" w:lineRule="exact"/>
        <w:ind w:firstLine="360" w:firstLineChars="150"/>
        <w:rPr>
          <w:rFonts w:ascii="仿宋" w:hAnsi="仿宋" w:eastAsia="仿宋"/>
          <w:sz w:val="24"/>
          <w:szCs w:val="24"/>
        </w:rPr>
      </w:pPr>
      <w:r>
        <w:rPr>
          <w:rFonts w:hint="eastAsia" w:ascii="仿宋" w:hAnsi="仿宋" w:eastAsia="仿宋"/>
          <w:sz w:val="24"/>
          <w:szCs w:val="24"/>
        </w:rPr>
        <w:t>（一）质疑内容、时限</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1、供应商对成交结果有异议的，应当在结果公告</w:t>
      </w:r>
      <w:r>
        <w:rPr>
          <w:rFonts w:ascii="仿宋" w:hAnsi="仿宋" w:eastAsia="仿宋"/>
          <w:sz w:val="24"/>
          <w:szCs w:val="24"/>
        </w:rPr>
        <w:t>期限届满</w:t>
      </w:r>
      <w:r>
        <w:rPr>
          <w:rFonts w:hint="eastAsia" w:ascii="仿宋" w:hAnsi="仿宋" w:eastAsia="仿宋"/>
          <w:sz w:val="24"/>
          <w:szCs w:val="24"/>
        </w:rPr>
        <w:t>之日起七个工作日内以书面形式向采购人、采购代理机构提出质疑，并附相关证明材料。</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2、供应商对竞争性磋商文件中供应商特定资格条件、技术质量和商务要求、评审标准及评审细则有异议的，应主要向采购人提出质疑，其他问题可向采购代理机构提出质疑。</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（二）质疑答复</w:t>
      </w:r>
    </w:p>
    <w:p>
      <w:pPr>
        <w:spacing w:line="400" w:lineRule="exact"/>
        <w:ind w:firstLine="480" w:firstLineChars="200"/>
        <w:rPr>
          <w:rFonts w:ascii="仿宋" w:hAnsi="仿宋" w:eastAsia="仿宋"/>
          <w:sz w:val="24"/>
          <w:szCs w:val="24"/>
        </w:rPr>
      </w:pPr>
      <w:r>
        <w:rPr>
          <w:rFonts w:hint="eastAsia" w:ascii="仿宋" w:hAnsi="仿宋" w:eastAsia="仿宋"/>
          <w:sz w:val="24"/>
        </w:rPr>
        <w:t>采购人、采购代理机构在收到供应商书面质疑后七个工作日内，对质疑内容作出答复</w:t>
      </w:r>
      <w:r>
        <w:rPr>
          <w:rFonts w:hint="eastAsia" w:ascii="仿宋" w:hAnsi="仿宋" w:eastAsia="仿宋"/>
          <w:sz w:val="24"/>
          <w:szCs w:val="24"/>
        </w:rPr>
        <w:t>。</w:t>
      </w:r>
    </w:p>
    <w:p>
      <w:pPr>
        <w:spacing w:line="400" w:lineRule="exact"/>
        <w:rPr>
          <w:rFonts w:ascii="仿宋" w:hAnsi="仿宋" w:eastAsia="仿宋"/>
          <w:sz w:val="24"/>
          <w:szCs w:val="24"/>
        </w:rPr>
      </w:pPr>
      <w:r>
        <w:rPr>
          <w:rFonts w:hint="eastAsia" w:ascii="仿宋" w:hAnsi="仿宋" w:eastAsia="仿宋"/>
          <w:sz w:val="24"/>
          <w:szCs w:val="24"/>
        </w:rPr>
        <w:t xml:space="preserve">   （三）不予受理或暂缓受理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1、质疑有下列情形之一的，不予受理：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1.1质疑供应商参与了磋商活动后，再对竞争性磋商文件内容提出质疑的；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1.2质疑超过有效期的；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1.3对同一事项重复质疑的。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2、质疑有下列情形之一的，应暂不受理并告知供应商补充材料。供应商及时补充材料的，应予受理；逾期未补充的，不予受理：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2.1质疑书格式和内容不符合国家或重庆市相关规定的；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2.2质疑书提供的依据或证明材料不全的；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2.3质疑书副本数量不足的。</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（四）投诉</w:t>
      </w:r>
    </w:p>
    <w:p>
      <w:pPr>
        <w:spacing w:line="400" w:lineRule="exact"/>
        <w:ind w:right="12" w:firstLine="480"/>
        <w:rPr>
          <w:rFonts w:ascii="仿宋" w:hAnsi="仿宋" w:eastAsia="仿宋"/>
          <w:sz w:val="24"/>
        </w:rPr>
      </w:pPr>
      <w:r>
        <w:rPr>
          <w:rFonts w:hint="eastAsia" w:ascii="仿宋" w:hAnsi="仿宋" w:eastAsia="仿宋"/>
          <w:sz w:val="24"/>
        </w:rPr>
        <w:t>1、供应商对采购人、采购代理机构的答复不满意，或者采购人、采购代理机构未在规定时间内答复的，可在答复期满后十五个工作日内按有关规定，向采购人投诉。</w:t>
      </w:r>
    </w:p>
    <w:p>
      <w:pPr>
        <w:spacing w:line="400" w:lineRule="exact"/>
        <w:ind w:right="12" w:firstLine="480"/>
        <w:rPr>
          <w:rFonts w:ascii="仿宋" w:hAnsi="仿宋" w:eastAsia="仿宋"/>
          <w:sz w:val="24"/>
        </w:rPr>
      </w:pPr>
      <w:r>
        <w:rPr>
          <w:rFonts w:hint="eastAsia" w:ascii="仿宋" w:hAnsi="仿宋" w:eastAsia="仿宋"/>
          <w:sz w:val="24"/>
        </w:rPr>
        <w:t>2、在提出投诉时，应附送相关证明材料。投诉书及证明材料为外文的，应同时提供其中文译本；中文与外文意思不一致的，以中文为准。</w:t>
      </w:r>
    </w:p>
    <w:p>
      <w:pPr>
        <w:pStyle w:val="5"/>
        <w:spacing w:before="0" w:after="0" w:line="400" w:lineRule="exact"/>
        <w:rPr>
          <w:rFonts w:ascii="仿宋" w:hAnsi="仿宋" w:eastAsia="仿宋"/>
          <w:sz w:val="24"/>
          <w:szCs w:val="24"/>
        </w:rPr>
      </w:pPr>
      <w:bookmarkStart w:id="73" w:name="_Toc5391"/>
      <w:r>
        <w:rPr>
          <w:rFonts w:hint="eastAsia" w:ascii="仿宋" w:hAnsi="仿宋" w:eastAsia="仿宋"/>
          <w:sz w:val="24"/>
          <w:szCs w:val="24"/>
        </w:rPr>
        <w:t>七、采购代理服务费</w:t>
      </w:r>
      <w:bookmarkEnd w:id="73"/>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（一）成交供应商在领取成交通知书前，向采购代理机构缴纳招标代理服务费，代理服务费5000元整。</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1.服务费以现金、转账等形式支付。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2.成交供应商如未按上述规定缴付采购代理服务费，其保证金将不予退还。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（二）招标代理服务费缴纳账号：</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户  名：重庆宏仁招标代理有限公司</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开户行：招商银行重庆分行较场口支行</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账  号：123907228910802</w:t>
      </w:r>
    </w:p>
    <w:p>
      <w:pPr>
        <w:pStyle w:val="5"/>
        <w:spacing w:before="0" w:after="0" w:line="400" w:lineRule="exact"/>
        <w:rPr>
          <w:rFonts w:ascii="仿宋" w:hAnsi="仿宋" w:eastAsia="仿宋"/>
          <w:sz w:val="24"/>
          <w:szCs w:val="24"/>
        </w:rPr>
      </w:pPr>
      <w:bookmarkStart w:id="74" w:name="_Toc102227322"/>
      <w:bookmarkStart w:id="75" w:name="_Toc342913396"/>
      <w:bookmarkStart w:id="76" w:name="_Toc29258"/>
      <w:bookmarkStart w:id="77" w:name="_Toc12789059"/>
      <w:bookmarkStart w:id="78" w:name="_Toc11641055"/>
      <w:r>
        <w:rPr>
          <w:rFonts w:hint="eastAsia" w:ascii="仿宋" w:hAnsi="仿宋" w:eastAsia="仿宋"/>
          <w:sz w:val="24"/>
          <w:szCs w:val="24"/>
        </w:rPr>
        <w:t>八、签订</w:t>
      </w:r>
      <w:bookmarkEnd w:id="74"/>
      <w:r>
        <w:rPr>
          <w:rFonts w:hint="eastAsia" w:ascii="仿宋" w:hAnsi="仿宋" w:eastAsia="仿宋"/>
          <w:sz w:val="24"/>
          <w:szCs w:val="24"/>
        </w:rPr>
        <w:t>合同</w:t>
      </w:r>
      <w:bookmarkEnd w:id="75"/>
      <w:bookmarkEnd w:id="76"/>
    </w:p>
    <w:p>
      <w:pPr>
        <w:spacing w:line="400" w:lineRule="exact"/>
        <w:ind w:firstLine="360" w:firstLineChars="150"/>
        <w:rPr>
          <w:rFonts w:ascii="仿宋" w:hAnsi="仿宋" w:eastAsia="仿宋"/>
          <w:sz w:val="24"/>
          <w:szCs w:val="24"/>
        </w:rPr>
      </w:pPr>
      <w:r>
        <w:rPr>
          <w:rFonts w:hint="eastAsia" w:ascii="仿宋" w:hAnsi="仿宋" w:eastAsia="仿宋"/>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（二）竞争性磋商文件、供应商的响应文件及澄清文件等，均为签订政府采购合同的依据。</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（三）合同生效条款由供需双方约定，法律、行政法规规定应当办理批准、登记等手续后生效的合同，依照其规定。</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（四）合同原则上应按照《采购合同》签订，相关单位要求适用合同通用格式版本的，应按其要求另行签订其他合同。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（五）采购人要求成交供应商提供履约保证金的，应当在竞争性磋商文件中予以约定。成交供应商履约完毕后，采购人</w:t>
      </w:r>
      <w:r>
        <w:rPr>
          <w:rFonts w:hint="eastAsia" w:ascii="仿宋" w:hAnsi="仿宋" w:eastAsia="仿宋"/>
          <w:sz w:val="24"/>
        </w:rPr>
        <w:t>应按磋商文件及合同的约定无息退还其履约保证金。</w:t>
      </w:r>
    </w:p>
    <w:p>
      <w:pPr>
        <w:pStyle w:val="5"/>
        <w:spacing w:before="0" w:after="0" w:line="400" w:lineRule="exact"/>
        <w:rPr>
          <w:rFonts w:ascii="仿宋" w:hAnsi="仿宋" w:eastAsia="仿宋"/>
          <w:sz w:val="24"/>
        </w:rPr>
      </w:pPr>
      <w:bookmarkStart w:id="79" w:name="_Toc14780"/>
      <w:bookmarkStart w:id="80" w:name="_Toc18324"/>
      <w:r>
        <w:rPr>
          <w:rFonts w:hint="eastAsia" w:ascii="仿宋" w:hAnsi="仿宋" w:eastAsia="仿宋"/>
          <w:sz w:val="24"/>
          <w:szCs w:val="24"/>
        </w:rPr>
        <w:t>九、</w:t>
      </w:r>
      <w:r>
        <w:rPr>
          <w:rFonts w:hint="eastAsia" w:ascii="仿宋" w:hAnsi="仿宋" w:eastAsia="仿宋"/>
          <w:sz w:val="24"/>
        </w:rPr>
        <w:t>政府采购信用融资</w:t>
      </w:r>
      <w:bookmarkEnd w:id="79"/>
      <w:bookmarkEnd w:id="80"/>
    </w:p>
    <w:p>
      <w:pPr>
        <w:spacing w:line="400" w:lineRule="exact"/>
        <w:ind w:firstLine="480" w:firstLineChars="200"/>
        <w:rPr>
          <w:rFonts w:ascii="仿宋" w:hAnsi="仿宋" w:eastAsia="仿宋"/>
          <w:sz w:val="24"/>
          <w:szCs w:val="24"/>
        </w:rPr>
      </w:pPr>
      <w:r>
        <w:rPr>
          <w:rFonts w:hint="eastAsia" w:ascii="仿宋" w:hAnsi="仿宋" w:eastAsia="仿宋"/>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4"/>
        <w:spacing w:before="0" w:after="0" w:line="360" w:lineRule="auto"/>
        <w:jc w:val="center"/>
        <w:rPr>
          <w:rFonts w:ascii="仿宋" w:hAnsi="仿宋" w:eastAsia="仿宋"/>
          <w:b w:val="0"/>
          <w:sz w:val="36"/>
          <w:szCs w:val="30"/>
        </w:rPr>
      </w:pPr>
      <w:r>
        <w:rPr>
          <w:rFonts w:ascii="仿宋" w:hAnsi="仿宋" w:eastAsia="仿宋"/>
          <w:sz w:val="36"/>
          <w:szCs w:val="30"/>
        </w:rPr>
        <w:br w:type="page"/>
      </w:r>
      <w:bookmarkStart w:id="81" w:name="_Toc23480"/>
      <w:r>
        <w:rPr>
          <w:rFonts w:hint="eastAsia" w:ascii="仿宋" w:hAnsi="仿宋" w:eastAsia="仿宋"/>
          <w:b w:val="0"/>
          <w:sz w:val="36"/>
          <w:szCs w:val="30"/>
        </w:rPr>
        <w:t xml:space="preserve">第六篇  </w:t>
      </w:r>
      <w:bookmarkEnd w:id="77"/>
      <w:bookmarkEnd w:id="78"/>
      <w:r>
        <w:rPr>
          <w:rFonts w:hint="eastAsia" w:ascii="仿宋" w:hAnsi="仿宋" w:eastAsia="仿宋"/>
          <w:b w:val="0"/>
          <w:sz w:val="36"/>
          <w:szCs w:val="30"/>
        </w:rPr>
        <w:t>合同草案条款</w:t>
      </w:r>
      <w:bookmarkEnd w:id="81"/>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1、定义</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1.1甲方（需方）即采购人，是指通过竞争性磋商采购，接受合同货物及服务的各级国家机关、事业单位和团体组织。</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1.2乙方（供方）即成交供应商，是指成交后提供合同货物和服务的自然人、法人及其他组织。</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1.3合同是指由甲乙双方按照竞争性磋商文件和响应文件的实质性内容，通过协商一致达成的书面协议。</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1.4合同价格指以成交价格为依据，在供方全面履行合同义务后，需方（或财政部门）应支付给供方的金额。</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2、货物内容（合同内容）</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3、合同价格</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3.1合同价格即合同总价。</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3.3合同货物单价为不变价。</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4、转包或分包</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adjustRightInd w:val="0"/>
        <w:snapToGrid w:val="0"/>
        <w:spacing w:line="380" w:lineRule="exact"/>
        <w:ind w:firstLine="600" w:firstLineChars="250"/>
        <w:rPr>
          <w:rFonts w:ascii="仿宋" w:hAnsi="仿宋" w:eastAsia="仿宋"/>
          <w:sz w:val="24"/>
        </w:rPr>
      </w:pPr>
      <w:r>
        <w:rPr>
          <w:rFonts w:hint="eastAsia" w:ascii="仿宋" w:hAnsi="仿宋" w:eastAsia="仿宋"/>
          <w:bCs/>
          <w:sz w:val="24"/>
        </w:rPr>
        <w:t>5、质量保证及售后服务</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5.1乙方应按竞争性磋商文件规定的货物性能、技术要求、质量标准向甲方提供未经使用的全新产品。</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5.2.1更换：由乙方承担所发生的全部费用。</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5.2.2贬值处理：由甲乙双方合议定价。</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5.3 如在使用过程中发生质量问题，乙方应同本项目“第三篇  采购商务需求”对质量保证及售后服务内容的约定。</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5.4在质保期内，乙方应对货物出现的质量及安全问题负责处理解决并承担一切费用。</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6、付款</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6.1本合同使用货币币制如未作特别说明均为人民币。</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6.2付款方式：银行转账、现金支票。</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6.3付款方法：同本项目“第三篇  采购商务需求”中关于付款方式的约定。</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7、检查验收</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7.1供方应随货物提供合格证和质量证明文件，如是国外进口的货物还须提供入关证明。</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7.2货物验收</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7.3货物验收报告应由需方、供方经办人签字，并加盖双方公章，以此作为支付凭据。</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8、索赔</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8.2根据货物的疵劣和受损程度以及需方遭受损失的金额，经双方同意降低货物价格。</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9、知识产权</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9.1</w:t>
      </w:r>
      <w:r>
        <w:rPr>
          <w:rFonts w:hint="eastAsia" w:ascii="仿宋" w:hAnsi="仿宋" w:eastAsia="仿宋"/>
          <w:sz w:val="24"/>
          <w:szCs w:val="24"/>
        </w:rPr>
        <w:t>甲方在中华人民共和国境内使用乙方提供的货物及服务时免受第三方提出的侵犯其专利权或其它知识产权的起诉。如果第三方提出侵权指控，乙方承担由此而引起的一切法律责任和费用。</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9.2</w:t>
      </w:r>
      <w:r>
        <w:rPr>
          <w:rFonts w:hint="eastAsia" w:ascii="仿宋" w:hAnsi="仿宋" w:eastAsia="仿宋"/>
          <w:sz w:val="24"/>
          <w:szCs w:val="24"/>
        </w:rPr>
        <w:t>若涉及软件开发等服务类项目知识产权的，知识产权归采购人所有。</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10、合同争议的解决</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10.1当事人友好协商达成一致</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11、违约责任</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按《中华人民共和国合同法》、《中华人民共和国政府采购法》有关条款，或由供需双方约定。</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12、合同生效及其它</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12.1合同生效及其效力应符合《中华人民共和国合同法》有关规定。</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380" w:lineRule="exact"/>
        <w:ind w:firstLine="480" w:firstLineChars="200"/>
        <w:rPr>
          <w:rFonts w:ascii="仿宋" w:hAnsi="仿宋" w:eastAsia="仿宋"/>
          <w:sz w:val="24"/>
          <w:szCs w:val="24"/>
        </w:rPr>
      </w:pPr>
      <w:r>
        <w:rPr>
          <w:rFonts w:hint="eastAsia" w:ascii="仿宋" w:hAnsi="仿宋" w:eastAsia="仿宋"/>
          <w:bCs/>
          <w:sz w:val="24"/>
        </w:rPr>
        <w:t>12.5本合同条件未尽事宜依照《中华人民共和国合同法》，由供需双方共同协商确定。</w:t>
      </w:r>
    </w:p>
    <w:p>
      <w:pPr>
        <w:snapToGrid w:val="0"/>
        <w:spacing w:line="360" w:lineRule="auto"/>
        <w:ind w:firstLine="570"/>
        <w:rPr>
          <w:rFonts w:ascii="仿宋" w:hAnsi="仿宋" w:eastAsia="仿宋"/>
          <w:sz w:val="24"/>
          <w:szCs w:val="24"/>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rPr>
          <w:rFonts w:ascii="仿宋" w:hAnsi="仿宋" w:eastAsia="仿宋"/>
          <w:sz w:val="24"/>
        </w:rPr>
      </w:pPr>
      <w:bookmarkStart w:id="82" w:name="_Toc303945820"/>
      <w:bookmarkStart w:id="83" w:name="_Toc148265480"/>
      <w:r>
        <w:rPr>
          <w:rFonts w:hint="eastAsia" w:ascii="仿宋" w:hAnsi="仿宋" w:eastAsia="仿宋"/>
          <w:sz w:val="24"/>
        </w:rPr>
        <w:t>附页：1、合同格式</w:t>
      </w:r>
      <w:bookmarkEnd w:id="82"/>
      <w:bookmarkEnd w:id="83"/>
      <w:r>
        <w:rPr>
          <w:rFonts w:hint="eastAsia" w:ascii="仿宋" w:hAnsi="仿宋" w:eastAsia="仿宋"/>
          <w:sz w:val="24"/>
        </w:rPr>
        <w:t>（根据项目情况自拟）</w:t>
      </w:r>
    </w:p>
    <w:p>
      <w:pPr>
        <w:tabs>
          <w:tab w:val="left" w:pos="9000"/>
        </w:tabs>
        <w:spacing w:line="276" w:lineRule="auto"/>
        <w:jc w:val="center"/>
        <w:rPr>
          <w:rFonts w:ascii="仿宋" w:hAnsi="仿宋" w:eastAsia="仿宋"/>
          <w:sz w:val="21"/>
          <w:szCs w:val="21"/>
        </w:rPr>
        <w:sectPr>
          <w:pgSz w:w="11907" w:h="16840"/>
          <w:pgMar w:top="1134" w:right="1191" w:bottom="1134" w:left="1304" w:header="964" w:footer="992" w:gutter="0"/>
          <w:pgNumType w:fmt="numberInDash"/>
          <w:cols w:space="720" w:num="1"/>
          <w:docGrid w:linePitch="312" w:charSpace="0"/>
        </w:sectPr>
      </w:pPr>
    </w:p>
    <w:p>
      <w:pPr>
        <w:pStyle w:val="4"/>
        <w:spacing w:before="0" w:after="0" w:line="360" w:lineRule="auto"/>
        <w:jc w:val="center"/>
        <w:rPr>
          <w:rFonts w:ascii="仿宋" w:hAnsi="仿宋" w:eastAsia="仿宋"/>
          <w:b w:val="0"/>
          <w:sz w:val="36"/>
          <w:szCs w:val="30"/>
        </w:rPr>
      </w:pPr>
      <w:bookmarkStart w:id="84" w:name="_Hlt41879464"/>
      <w:bookmarkEnd w:id="84"/>
      <w:bookmarkStart w:id="85" w:name="_Toc12789072"/>
      <w:bookmarkStart w:id="86" w:name="_Toc4726"/>
      <w:r>
        <w:rPr>
          <w:rFonts w:hint="eastAsia" w:ascii="仿宋" w:hAnsi="仿宋" w:eastAsia="仿宋"/>
          <w:b w:val="0"/>
          <w:sz w:val="36"/>
          <w:szCs w:val="30"/>
        </w:rPr>
        <w:t xml:space="preserve">第七篇  </w:t>
      </w:r>
      <w:bookmarkEnd w:id="85"/>
      <w:r>
        <w:rPr>
          <w:rFonts w:hint="eastAsia" w:ascii="仿宋" w:hAnsi="仿宋" w:eastAsia="仿宋"/>
          <w:b w:val="0"/>
          <w:sz w:val="36"/>
          <w:szCs w:val="30"/>
        </w:rPr>
        <w:t>响应文件编制要求</w:t>
      </w:r>
      <w:bookmarkEnd w:id="86"/>
    </w:p>
    <w:p>
      <w:pPr>
        <w:spacing w:line="44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（一）竞争性磋商报价函</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二、服务部分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（一）服务方案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（二）服务响应偏离表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（二）商务评审资料及其它优惠服务承诺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（一）营业执照（副本）或事业单位法人证书（副本）复印件或个体工商户营业执照</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（二）法定代表人身份证明书（格式）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（三）法定代表人授权委托书（格式）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（四）上一年度财务会计报告（表）复印件，本年度新成立的公司提供提交响应文件截止时间前一个月的财务会计报告（表）复印件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（五）书面声明（格式）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（七）特定资格条件证书或证明文件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说明：供应商按“三证合一”登记制度办理营业执照的，组织机构代码证和税务登记证以供应商所提供的法人营业执照（副本）复印件为准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五、其他应提供的资料</w:t>
      </w:r>
    </w:p>
    <w:p>
      <w:pPr>
        <w:spacing w:line="440" w:lineRule="exact"/>
        <w:ind w:firstLine="480" w:firstLineChars="200"/>
        <w:rPr>
          <w:rFonts w:ascii="仿宋" w:hAnsi="仿宋" w:eastAsia="仿宋"/>
          <w:b/>
          <w:sz w:val="24"/>
          <w:szCs w:val="24"/>
        </w:rPr>
      </w:pPr>
      <w:r>
        <w:rPr>
          <w:rFonts w:hint="eastAsia" w:ascii="仿宋" w:hAnsi="仿宋" w:eastAsia="仿宋"/>
          <w:sz w:val="24"/>
          <w:szCs w:val="24"/>
        </w:rPr>
        <w:t>（一）供应商小微企业证明文件</w:t>
      </w:r>
      <w:r>
        <w:rPr>
          <w:rFonts w:hint="eastAsia" w:ascii="仿宋" w:hAnsi="仿宋" w:eastAsia="仿宋"/>
          <w:b/>
          <w:sz w:val="24"/>
          <w:szCs w:val="24"/>
        </w:rPr>
        <w:t>（非小微企业不提供）</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（二）其他资料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1、保证金缴纳情况证明文件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2、其他与项目有关的资料</w:t>
      </w:r>
    </w:p>
    <w:p>
      <w:pPr>
        <w:snapToGrid w:val="0"/>
        <w:spacing w:line="360" w:lineRule="auto"/>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ascii="仿宋" w:hAnsi="仿宋" w:eastAsia="仿宋"/>
          <w:sz w:val="24"/>
          <w:szCs w:val="24"/>
        </w:rPr>
      </w:pPr>
      <w:bookmarkStart w:id="87" w:name="_Toc342913419"/>
      <w:bookmarkStart w:id="88" w:name="_Toc313888360"/>
      <w:bookmarkStart w:id="89" w:name="_Toc313008356"/>
      <w:bookmarkStart w:id="90" w:name="_Toc18220"/>
      <w:bookmarkStart w:id="91" w:name="_Toc12789073"/>
      <w:bookmarkStart w:id="92" w:name="_Toc283382454"/>
      <w:r>
        <w:rPr>
          <w:rFonts w:hint="eastAsia" w:ascii="仿宋" w:hAnsi="仿宋" w:eastAsia="仿宋"/>
          <w:sz w:val="24"/>
          <w:szCs w:val="24"/>
        </w:rPr>
        <w:t>一、经济部分</w:t>
      </w:r>
      <w:bookmarkEnd w:id="87"/>
      <w:bookmarkEnd w:id="88"/>
      <w:bookmarkEnd w:id="89"/>
      <w:bookmarkEnd w:id="90"/>
    </w:p>
    <w:bookmarkEnd w:id="91"/>
    <w:bookmarkEnd w:id="92"/>
    <w:p>
      <w:pPr>
        <w:tabs>
          <w:tab w:val="left" w:pos="6300"/>
        </w:tabs>
        <w:snapToGrid w:val="0"/>
        <w:spacing w:line="312" w:lineRule="auto"/>
        <w:ind w:firstLine="480" w:firstLineChars="200"/>
        <w:rPr>
          <w:rFonts w:ascii="仿宋" w:hAnsi="仿宋" w:eastAsia="仿宋"/>
          <w:sz w:val="24"/>
          <w:szCs w:val="24"/>
        </w:rPr>
      </w:pPr>
      <w:r>
        <w:rPr>
          <w:rFonts w:hint="eastAsia" w:ascii="仿宋" w:hAnsi="仿宋" w:eastAsia="仿宋"/>
          <w:sz w:val="24"/>
          <w:szCs w:val="24"/>
        </w:rPr>
        <w:t>（一）竞争性磋商报价函</w:t>
      </w:r>
    </w:p>
    <w:p>
      <w:pPr>
        <w:tabs>
          <w:tab w:val="left" w:pos="6300"/>
        </w:tabs>
        <w:snapToGrid w:val="0"/>
        <w:spacing w:line="480" w:lineRule="exact"/>
        <w:jc w:val="center"/>
        <w:outlineLvl w:val="0"/>
        <w:rPr>
          <w:rFonts w:ascii="仿宋" w:hAnsi="仿宋" w:eastAsia="仿宋"/>
          <w:b/>
          <w:szCs w:val="28"/>
        </w:rPr>
      </w:pPr>
      <w:r>
        <w:rPr>
          <w:rFonts w:hint="eastAsia" w:ascii="仿宋" w:hAnsi="仿宋" w:eastAsia="仿宋"/>
          <w:b/>
          <w:szCs w:val="28"/>
        </w:rPr>
        <w:t>竞争性磋商报价函</w:t>
      </w:r>
    </w:p>
    <w:p>
      <w:pPr>
        <w:tabs>
          <w:tab w:val="left" w:pos="6300"/>
        </w:tabs>
        <w:snapToGrid w:val="0"/>
        <w:spacing w:line="480" w:lineRule="exact"/>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我方收到____________________________（项目名称）及_____________（项目号）的竞争性磋商文件，经详细研究，决定参加该项目的磋商。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1、愿意按照竞争性磋商文件中的一切要求，提供本项目的技术服务，初始报价为人民币大写：</w:t>
      </w:r>
      <w:r>
        <w:rPr>
          <w:rFonts w:hint="eastAsia" w:ascii="仿宋" w:hAnsi="仿宋" w:eastAsia="仿宋"/>
          <w:sz w:val="24"/>
          <w:szCs w:val="24"/>
          <w:u w:val="single"/>
        </w:rPr>
        <w:t xml:space="preserve">      </w:t>
      </w:r>
      <w:r>
        <w:rPr>
          <w:rFonts w:hint="eastAsia" w:ascii="仿宋" w:hAnsi="仿宋" w:eastAsia="仿宋"/>
          <w:sz w:val="24"/>
          <w:szCs w:val="24"/>
        </w:rPr>
        <w:t>元整；人民币小写：</w:t>
      </w:r>
      <w:r>
        <w:rPr>
          <w:rFonts w:hint="eastAsia" w:ascii="仿宋" w:hAnsi="仿宋" w:eastAsia="仿宋"/>
          <w:sz w:val="24"/>
          <w:szCs w:val="24"/>
          <w:u w:val="single"/>
        </w:rPr>
        <w:t xml:space="preserve">    </w:t>
      </w:r>
      <w:r>
        <w:rPr>
          <w:rFonts w:hint="eastAsia" w:ascii="仿宋" w:hAnsi="仿宋" w:eastAsia="仿宋"/>
          <w:sz w:val="24"/>
          <w:szCs w:val="24"/>
        </w:rPr>
        <w:t>元。以我公司最后报价为准。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hint="eastAsia" w:ascii="仿宋" w:hAnsi="仿宋" w:eastAsia="仿宋"/>
          <w:sz w:val="24"/>
          <w:szCs w:val="24"/>
        </w:rPr>
        <w:t>份，副本</w:t>
      </w:r>
      <w:r>
        <w:rPr>
          <w:rFonts w:hint="eastAsia" w:ascii="仿宋" w:hAnsi="仿宋" w:eastAsia="仿宋"/>
          <w:sz w:val="24"/>
          <w:szCs w:val="24"/>
          <w:u w:val="single"/>
        </w:rPr>
        <w:t xml:space="preserve">   </w:t>
      </w:r>
      <w:r>
        <w:rPr>
          <w:rFonts w:hint="eastAsia" w:ascii="仿宋" w:hAnsi="仿宋" w:eastAsia="仿宋"/>
          <w:sz w:val="24"/>
          <w:szCs w:val="24"/>
        </w:rPr>
        <w:t>份。</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3、我方承诺：本次磋商的有效期为90天。</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7、</w:t>
      </w:r>
      <w:r>
        <w:rPr>
          <w:rFonts w:hint="eastAsia" w:ascii="仿宋" w:hAnsi="仿宋" w:eastAsia="仿宋"/>
          <w:sz w:val="24"/>
          <w:szCs w:val="28"/>
        </w:rPr>
        <w:t>我方理解，最低报价不是成交的唯一条件。</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8、我方同意按竞争性磋商文件规定，交纳竞争性磋商文件要求的磋商保证金。如果我方成为成交供应商，保证在接到成交通知书后，向采购代理机构交纳竞争性磋商文件规定的采购代理服务费。</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9、</w:t>
      </w:r>
      <w:r>
        <w:rPr>
          <w:rFonts w:hint="eastAsia" w:ascii="仿宋" w:hAnsi="仿宋" w:eastAsia="仿宋"/>
          <w:sz w:val="24"/>
          <w:szCs w:val="28"/>
        </w:rPr>
        <w:t>我方未</w:t>
      </w:r>
      <w:r>
        <w:rPr>
          <w:rFonts w:ascii="仿宋" w:hAnsi="仿宋" w:eastAsia="仿宋"/>
          <w:sz w:val="24"/>
          <w:szCs w:val="24"/>
        </w:rPr>
        <w:t>为采购项目提供整体设计、规范编制或者项目管理、监理、检测等服务。</w:t>
      </w: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r>
        <w:rPr>
          <w:rFonts w:hint="eastAsia" w:ascii="仿宋" w:hAnsi="仿宋" w:eastAsia="仿宋"/>
          <w:sz w:val="24"/>
          <w:szCs w:val="24"/>
        </w:rPr>
        <w:t xml:space="preserve">                                                供应商（公章）：</w:t>
      </w:r>
    </w:p>
    <w:p>
      <w:pPr>
        <w:snapToGrid w:val="0"/>
        <w:spacing w:line="312" w:lineRule="auto"/>
        <w:ind w:firstLine="480" w:firstLineChars="200"/>
        <w:rPr>
          <w:rFonts w:ascii="仿宋" w:hAnsi="仿宋" w:eastAsia="仿宋"/>
          <w:sz w:val="24"/>
          <w:szCs w:val="24"/>
        </w:rP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sz w:val="24"/>
          <w:szCs w:val="24"/>
        </w:rPr>
        <w:t xml:space="preserve">                                                  年   月   日</w:t>
      </w:r>
    </w:p>
    <w:p>
      <w:pPr>
        <w:tabs>
          <w:tab w:val="left" w:pos="2895"/>
        </w:tabs>
        <w:spacing w:line="360" w:lineRule="auto"/>
        <w:ind w:firstLine="480" w:firstLineChars="200"/>
        <w:rPr>
          <w:rFonts w:ascii="仿宋" w:hAnsi="仿宋" w:eastAsia="仿宋"/>
          <w:sz w:val="24"/>
          <w:szCs w:val="24"/>
        </w:rPr>
      </w:pPr>
      <w:r>
        <w:rPr>
          <w:rFonts w:hint="eastAsia" w:ascii="仿宋" w:hAnsi="仿宋" w:eastAsia="仿宋"/>
          <w:sz w:val="24"/>
          <w:szCs w:val="24"/>
        </w:rPr>
        <w:t>（二）明细报价表</w:t>
      </w:r>
    </w:p>
    <w:p>
      <w:pPr>
        <w:jc w:val="center"/>
        <w:rPr>
          <w:rFonts w:ascii="仿宋" w:hAnsi="仿宋" w:eastAsia="仿宋"/>
          <w:b/>
          <w:szCs w:val="28"/>
        </w:rPr>
      </w:pPr>
      <w:r>
        <w:rPr>
          <w:rFonts w:hint="eastAsia" w:ascii="仿宋" w:hAnsi="仿宋" w:eastAsia="仿宋"/>
          <w:b/>
          <w:szCs w:val="28"/>
        </w:rPr>
        <w:t>明细报价表</w:t>
      </w:r>
    </w:p>
    <w:p>
      <w:pPr>
        <w:spacing w:line="360" w:lineRule="auto"/>
        <w:rPr>
          <w:rFonts w:ascii="仿宋" w:hAnsi="仿宋" w:eastAsia="仿宋"/>
          <w:sz w:val="24"/>
          <w:szCs w:val="24"/>
        </w:rPr>
      </w:pPr>
      <w:r>
        <w:rPr>
          <w:rFonts w:hint="eastAsia" w:ascii="仿宋" w:hAnsi="仿宋" w:eastAsia="仿宋"/>
          <w:sz w:val="24"/>
          <w:szCs w:val="24"/>
        </w:rPr>
        <w:t>项目编号：</w:t>
      </w:r>
    </w:p>
    <w:p>
      <w:pPr>
        <w:spacing w:line="360" w:lineRule="auto"/>
        <w:rPr>
          <w:rFonts w:ascii="仿宋" w:hAnsi="仿宋" w:eastAsia="仿宋"/>
          <w:sz w:val="24"/>
          <w:szCs w:val="24"/>
          <w:u w:val="single"/>
        </w:rPr>
      </w:pPr>
      <w:r>
        <w:rPr>
          <w:rFonts w:hint="eastAsia" w:ascii="仿宋" w:hAnsi="仿宋" w:eastAsia="仿宋"/>
          <w:sz w:val="24"/>
          <w:szCs w:val="24"/>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022" w:type="dxa"/>
            <w:vAlign w:val="center"/>
          </w:tcPr>
          <w:p>
            <w:pPr>
              <w:jc w:val="center"/>
              <w:rPr>
                <w:rFonts w:ascii="仿宋" w:hAnsi="仿宋" w:eastAsia="仿宋"/>
                <w:b/>
                <w:sz w:val="21"/>
                <w:szCs w:val="21"/>
              </w:rPr>
            </w:pPr>
            <w:r>
              <w:rPr>
                <w:rFonts w:hint="eastAsia" w:ascii="仿宋" w:hAnsi="仿宋" w:eastAsia="仿宋"/>
                <w:b/>
                <w:sz w:val="21"/>
                <w:szCs w:val="21"/>
              </w:rPr>
              <w:t>序号</w:t>
            </w:r>
          </w:p>
        </w:tc>
        <w:tc>
          <w:tcPr>
            <w:tcW w:w="1695" w:type="dxa"/>
            <w:vAlign w:val="center"/>
          </w:tcPr>
          <w:p>
            <w:pPr>
              <w:jc w:val="center"/>
              <w:rPr>
                <w:rFonts w:ascii="仿宋" w:hAnsi="仿宋" w:eastAsia="仿宋"/>
                <w:b/>
                <w:sz w:val="21"/>
                <w:szCs w:val="21"/>
              </w:rPr>
            </w:pPr>
            <w:r>
              <w:rPr>
                <w:rFonts w:hint="eastAsia" w:ascii="仿宋" w:hAnsi="仿宋" w:eastAsia="仿宋"/>
                <w:b/>
                <w:sz w:val="21"/>
                <w:szCs w:val="21"/>
              </w:rPr>
              <w:t>名称</w:t>
            </w:r>
          </w:p>
        </w:tc>
        <w:tc>
          <w:tcPr>
            <w:tcW w:w="3404" w:type="dxa"/>
            <w:vAlign w:val="center"/>
          </w:tcPr>
          <w:p>
            <w:pPr>
              <w:jc w:val="center"/>
              <w:rPr>
                <w:rFonts w:ascii="仿宋" w:hAnsi="仿宋" w:eastAsia="仿宋"/>
                <w:b/>
                <w:sz w:val="21"/>
                <w:szCs w:val="21"/>
              </w:rPr>
            </w:pPr>
            <w:r>
              <w:rPr>
                <w:rFonts w:hint="eastAsia" w:ascii="仿宋" w:hAnsi="仿宋" w:eastAsia="仿宋"/>
                <w:b/>
                <w:sz w:val="21"/>
                <w:szCs w:val="21"/>
              </w:rPr>
              <w:t>相关信息</w:t>
            </w:r>
          </w:p>
        </w:tc>
        <w:tc>
          <w:tcPr>
            <w:tcW w:w="1344" w:type="dxa"/>
            <w:vAlign w:val="center"/>
          </w:tcPr>
          <w:p>
            <w:pPr>
              <w:jc w:val="center"/>
              <w:rPr>
                <w:rFonts w:ascii="仿宋" w:hAnsi="仿宋" w:eastAsia="仿宋"/>
                <w:b/>
                <w:sz w:val="21"/>
                <w:szCs w:val="21"/>
              </w:rPr>
            </w:pPr>
            <w:r>
              <w:rPr>
                <w:rFonts w:hint="eastAsia" w:ascii="仿宋" w:hAnsi="仿宋" w:eastAsia="仿宋"/>
                <w:b/>
                <w:sz w:val="21"/>
                <w:szCs w:val="21"/>
              </w:rPr>
              <w:t>数量</w:t>
            </w:r>
          </w:p>
        </w:tc>
        <w:tc>
          <w:tcPr>
            <w:tcW w:w="1344" w:type="dxa"/>
            <w:vAlign w:val="center"/>
          </w:tcPr>
          <w:p>
            <w:pPr>
              <w:jc w:val="center"/>
              <w:rPr>
                <w:rFonts w:ascii="仿宋" w:hAnsi="仿宋" w:eastAsia="仿宋"/>
                <w:b/>
                <w:sz w:val="21"/>
                <w:szCs w:val="21"/>
              </w:rPr>
            </w:pPr>
            <w:r>
              <w:rPr>
                <w:rFonts w:hint="eastAsia" w:ascii="仿宋" w:hAnsi="仿宋" w:eastAsia="仿宋"/>
                <w:b/>
                <w:sz w:val="21"/>
                <w:szCs w:val="21"/>
              </w:rPr>
              <w:t>单价</w:t>
            </w:r>
          </w:p>
        </w:tc>
        <w:tc>
          <w:tcPr>
            <w:tcW w:w="1344" w:type="dxa"/>
            <w:vAlign w:val="center"/>
          </w:tcPr>
          <w:p>
            <w:pPr>
              <w:jc w:val="center"/>
              <w:rPr>
                <w:rFonts w:ascii="仿宋" w:hAnsi="仿宋" w:eastAsia="仿宋"/>
                <w:b/>
                <w:sz w:val="21"/>
                <w:szCs w:val="21"/>
              </w:rPr>
            </w:pPr>
            <w:r>
              <w:rPr>
                <w:rFonts w:hint="eastAsia" w:ascii="仿宋" w:hAnsi="仿宋" w:eastAsia="仿宋"/>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1</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2</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3</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4</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5</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6</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7</w:t>
            </w:r>
          </w:p>
        </w:tc>
        <w:tc>
          <w:tcPr>
            <w:tcW w:w="1695" w:type="dxa"/>
            <w:vAlign w:val="center"/>
          </w:tcPr>
          <w:p>
            <w:pPr>
              <w:jc w:val="center"/>
              <w:rPr>
                <w:rFonts w:ascii="仿宋" w:hAnsi="仿宋" w:eastAsia="仿宋"/>
                <w:sz w:val="21"/>
                <w:szCs w:val="21"/>
              </w:rPr>
            </w:pP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8</w:t>
            </w:r>
          </w:p>
        </w:tc>
        <w:tc>
          <w:tcPr>
            <w:tcW w:w="1695" w:type="dxa"/>
            <w:vAlign w:val="center"/>
          </w:tcPr>
          <w:p>
            <w:pPr>
              <w:jc w:val="center"/>
              <w:rPr>
                <w:rFonts w:ascii="仿宋" w:hAnsi="仿宋" w:eastAsia="仿宋"/>
                <w:sz w:val="21"/>
                <w:szCs w:val="21"/>
              </w:rPr>
            </w:pPr>
            <w:r>
              <w:rPr>
                <w:rFonts w:hint="eastAsia" w:ascii="仿宋" w:hAnsi="仿宋" w:eastAsia="仿宋"/>
                <w:sz w:val="21"/>
                <w:szCs w:val="21"/>
              </w:rPr>
              <w:t>人工费</w:t>
            </w: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9</w:t>
            </w:r>
          </w:p>
        </w:tc>
        <w:tc>
          <w:tcPr>
            <w:tcW w:w="1695" w:type="dxa"/>
            <w:vAlign w:val="center"/>
          </w:tcPr>
          <w:p>
            <w:pPr>
              <w:jc w:val="center"/>
              <w:rPr>
                <w:rFonts w:ascii="仿宋" w:hAnsi="仿宋" w:eastAsia="仿宋"/>
                <w:sz w:val="21"/>
                <w:szCs w:val="21"/>
              </w:rPr>
            </w:pPr>
            <w:r>
              <w:rPr>
                <w:rFonts w:hint="eastAsia" w:ascii="仿宋" w:hAnsi="仿宋" w:eastAsia="仿宋"/>
                <w:sz w:val="21"/>
                <w:szCs w:val="21"/>
              </w:rPr>
              <w:t>运输费</w:t>
            </w: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10</w:t>
            </w:r>
          </w:p>
        </w:tc>
        <w:tc>
          <w:tcPr>
            <w:tcW w:w="1695" w:type="dxa"/>
            <w:vAlign w:val="center"/>
          </w:tcPr>
          <w:p>
            <w:pPr>
              <w:jc w:val="center"/>
              <w:rPr>
                <w:rFonts w:ascii="仿宋" w:hAnsi="仿宋" w:eastAsia="仿宋"/>
                <w:sz w:val="21"/>
                <w:szCs w:val="21"/>
              </w:rPr>
            </w:pPr>
            <w:r>
              <w:rPr>
                <w:rFonts w:hint="eastAsia" w:ascii="仿宋" w:hAnsi="仿宋" w:eastAsia="仿宋"/>
                <w:sz w:val="21"/>
                <w:szCs w:val="21"/>
              </w:rPr>
              <w:t>其他费用</w:t>
            </w: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11</w:t>
            </w:r>
          </w:p>
        </w:tc>
        <w:tc>
          <w:tcPr>
            <w:tcW w:w="1695"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3404" w:type="dxa"/>
          </w:tcPr>
          <w:p>
            <w:pPr>
              <w:jc w:val="center"/>
              <w:rPr>
                <w:rFonts w:ascii="仿宋" w:hAnsi="仿宋" w:eastAsia="仿宋"/>
                <w:sz w:val="21"/>
                <w:szCs w:val="21"/>
              </w:rPr>
            </w:pPr>
          </w:p>
        </w:tc>
        <w:tc>
          <w:tcPr>
            <w:tcW w:w="1344" w:type="dxa"/>
            <w:vAlign w:val="center"/>
          </w:tcPr>
          <w:p>
            <w:pPr>
              <w:jc w:val="center"/>
              <w:rPr>
                <w:rFonts w:ascii="仿宋" w:hAnsi="仿宋" w:eastAsia="仿宋"/>
                <w:sz w:val="21"/>
                <w:szCs w:val="21"/>
              </w:rPr>
            </w:pPr>
            <w:r>
              <w:rPr>
                <w:rFonts w:hint="eastAsia" w:ascii="仿宋" w:hAnsi="仿宋" w:eastAsia="仿宋"/>
                <w:sz w:val="21"/>
                <w:szCs w:val="21"/>
              </w:rPr>
              <w:t>/</w:t>
            </w:r>
          </w:p>
        </w:tc>
        <w:tc>
          <w:tcPr>
            <w:tcW w:w="1344" w:type="dxa"/>
          </w:tcPr>
          <w:p>
            <w:pPr>
              <w:jc w:val="center"/>
              <w:rPr>
                <w:rFonts w:ascii="仿宋" w:hAnsi="仿宋" w:eastAsia="仿宋"/>
                <w:sz w:val="21"/>
                <w:szCs w:val="21"/>
              </w:rPr>
            </w:pPr>
          </w:p>
        </w:tc>
        <w:tc>
          <w:tcPr>
            <w:tcW w:w="1344" w:type="dxa"/>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3"/>
              <w:spacing w:line="240" w:lineRule="atLeast"/>
              <w:ind w:left="3920"/>
              <w:jc w:val="center"/>
              <w:outlineLvl w:val="0"/>
              <w:rPr>
                <w:rFonts w:ascii="仿宋" w:hAnsi="仿宋" w:eastAsia="仿宋"/>
                <w:sz w:val="21"/>
                <w:szCs w:val="21"/>
              </w:rPr>
            </w:pPr>
            <w:r>
              <w:rPr>
                <w:rFonts w:hint="eastAsia" w:ascii="仿宋" w:hAnsi="仿宋" w:eastAsia="仿宋"/>
                <w:sz w:val="21"/>
                <w:szCs w:val="21"/>
              </w:rPr>
              <w:t>12</w:t>
            </w:r>
          </w:p>
        </w:tc>
        <w:tc>
          <w:tcPr>
            <w:tcW w:w="1695" w:type="dxa"/>
            <w:vAlign w:val="center"/>
          </w:tcPr>
          <w:p>
            <w:pPr>
              <w:jc w:val="center"/>
              <w:rPr>
                <w:rFonts w:ascii="仿宋" w:hAnsi="仿宋" w:eastAsia="仿宋"/>
                <w:sz w:val="21"/>
                <w:szCs w:val="21"/>
              </w:rPr>
            </w:pPr>
            <w:r>
              <w:rPr>
                <w:rFonts w:hint="eastAsia" w:ascii="仿宋" w:hAnsi="仿宋" w:eastAsia="仿宋"/>
                <w:sz w:val="21"/>
                <w:szCs w:val="21"/>
              </w:rPr>
              <w:t>总计</w:t>
            </w:r>
          </w:p>
        </w:tc>
        <w:tc>
          <w:tcPr>
            <w:tcW w:w="7436" w:type="dxa"/>
            <w:gridSpan w:val="4"/>
          </w:tcPr>
          <w:p>
            <w:pPr>
              <w:rPr>
                <w:rFonts w:ascii="仿宋" w:hAnsi="仿宋" w:eastAsia="仿宋"/>
                <w:sz w:val="21"/>
                <w:szCs w:val="21"/>
              </w:rPr>
            </w:pPr>
          </w:p>
        </w:tc>
      </w:tr>
    </w:tbl>
    <w:p>
      <w:pPr>
        <w:snapToGrid w:val="0"/>
        <w:spacing w:line="500" w:lineRule="exact"/>
        <w:ind w:firstLine="480" w:firstLineChars="200"/>
        <w:rPr>
          <w:rFonts w:ascii="仿宋" w:hAnsi="仿宋" w:eastAsia="仿宋"/>
          <w:sz w:val="24"/>
          <w:szCs w:val="28"/>
        </w:rPr>
      </w:pPr>
    </w:p>
    <w:p>
      <w:pPr>
        <w:snapToGrid w:val="0"/>
        <w:spacing w:line="500" w:lineRule="exact"/>
        <w:ind w:firstLine="480" w:firstLineChars="200"/>
        <w:rPr>
          <w:rFonts w:ascii="仿宋" w:hAnsi="仿宋" w:eastAsia="仿宋"/>
          <w:sz w:val="24"/>
          <w:szCs w:val="28"/>
        </w:rPr>
      </w:pPr>
      <w:r>
        <w:rPr>
          <w:rFonts w:hint="eastAsia" w:ascii="仿宋" w:hAnsi="仿宋" w:eastAsia="仿宋"/>
          <w:sz w:val="24"/>
          <w:szCs w:val="28"/>
        </w:rPr>
        <w:t>注：1、请供应商完整填写本表。</w:t>
      </w:r>
    </w:p>
    <w:p>
      <w:pPr>
        <w:snapToGrid w:val="0"/>
        <w:spacing w:line="500" w:lineRule="exact"/>
        <w:rPr>
          <w:rFonts w:ascii="仿宋" w:hAnsi="仿宋" w:eastAsia="仿宋"/>
          <w:sz w:val="24"/>
          <w:szCs w:val="28"/>
        </w:rPr>
      </w:pPr>
      <w:r>
        <w:rPr>
          <w:rFonts w:hint="eastAsia" w:ascii="仿宋" w:hAnsi="仿宋" w:eastAsia="仿宋"/>
          <w:sz w:val="24"/>
          <w:szCs w:val="28"/>
        </w:rPr>
        <w:t xml:space="preserve">        2、该表可扩展</w:t>
      </w:r>
      <w:bookmarkStart w:id="93" w:name="OLE_LINK1"/>
      <w:bookmarkStart w:id="94" w:name="OLE_LINK2"/>
      <w:r>
        <w:rPr>
          <w:rFonts w:hint="eastAsia" w:ascii="仿宋" w:hAnsi="仿宋" w:eastAsia="仿宋"/>
          <w:sz w:val="24"/>
          <w:szCs w:val="28"/>
        </w:rPr>
        <w:t>，并逐页签字或盖章。</w:t>
      </w:r>
      <w:bookmarkEnd w:id="93"/>
      <w:bookmarkEnd w:id="94"/>
    </w:p>
    <w:p>
      <w:pPr>
        <w:snapToGrid w:val="0"/>
        <w:spacing w:line="500" w:lineRule="exact"/>
        <w:rPr>
          <w:rFonts w:ascii="仿宋" w:hAnsi="仿宋" w:eastAsia="仿宋"/>
          <w:sz w:val="24"/>
          <w:szCs w:val="28"/>
        </w:rPr>
      </w:pPr>
      <w:r>
        <w:rPr>
          <w:rFonts w:hint="eastAsia" w:ascii="仿宋" w:hAnsi="仿宋" w:eastAsia="仿宋"/>
          <w:sz w:val="24"/>
          <w:szCs w:val="28"/>
        </w:rPr>
        <w:t xml:space="preserve">        3、该表可根据项目实际情况调整。</w:t>
      </w:r>
    </w:p>
    <w:p>
      <w:pPr>
        <w:pStyle w:val="37"/>
        <w:spacing w:line="360" w:lineRule="auto"/>
        <w:rPr>
          <w:rFonts w:ascii="仿宋" w:hAnsi="仿宋" w:eastAsia="仿宋"/>
          <w:sz w:val="24"/>
          <w:szCs w:val="24"/>
        </w:rPr>
      </w:pPr>
    </w:p>
    <w:p>
      <w:pPr>
        <w:pStyle w:val="37"/>
        <w:spacing w:line="360" w:lineRule="auto"/>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rPr>
      </w:pPr>
    </w:p>
    <w:p>
      <w:pPr>
        <w:rPr>
          <w:rFonts w:ascii="仿宋" w:hAnsi="仿宋" w:eastAsia="仿宋"/>
        </w:rPr>
      </w:pPr>
    </w:p>
    <w:p>
      <w:pPr>
        <w:spacing w:line="360" w:lineRule="auto"/>
        <w:rPr>
          <w:rFonts w:ascii="仿宋" w:hAnsi="仿宋" w:eastAsia="仿宋"/>
        </w:rPr>
      </w:pPr>
      <w:r>
        <w:rPr>
          <w:rFonts w:hint="eastAsia" w:ascii="仿宋" w:hAnsi="仿宋" w:eastAsia="仿宋"/>
          <w:sz w:val="24"/>
          <w:szCs w:val="24"/>
        </w:rPr>
        <w:t xml:space="preserve">                                                   供应商名称（公章）：</w:t>
      </w:r>
    </w:p>
    <w:p>
      <w:pPr>
        <w:spacing w:line="360" w:lineRule="auto"/>
        <w:ind w:right="480" w:firstLine="6480" w:firstLineChars="2700"/>
        <w:rPr>
          <w:rFonts w:ascii="仿宋" w:hAnsi="仿宋" w:eastAsia="仿宋"/>
          <w:sz w:val="24"/>
          <w:szCs w:val="24"/>
        </w:rPr>
      </w:pPr>
      <w:r>
        <w:rPr>
          <w:rFonts w:hint="eastAsia" w:ascii="仿宋" w:hAnsi="仿宋" w:eastAsia="仿宋"/>
          <w:sz w:val="24"/>
          <w:szCs w:val="24"/>
        </w:rPr>
        <w:t>年     月    日</w:t>
      </w:r>
    </w:p>
    <w:p>
      <w:pPr>
        <w:snapToGrid w:val="0"/>
        <w:spacing w:line="360" w:lineRule="auto"/>
        <w:ind w:firstLine="480" w:firstLineChars="200"/>
        <w:rPr>
          <w:rFonts w:ascii="仿宋" w:hAnsi="仿宋" w:eastAsia="仿宋"/>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ascii="仿宋" w:hAnsi="仿宋" w:eastAsia="仿宋"/>
          <w:sz w:val="24"/>
          <w:szCs w:val="24"/>
        </w:rPr>
      </w:pPr>
      <w:bookmarkStart w:id="95" w:name="_Toc313888361"/>
      <w:bookmarkStart w:id="96" w:name="_Toc313008357"/>
      <w:bookmarkStart w:id="97" w:name="_Toc342913420"/>
      <w:bookmarkStart w:id="98" w:name="_Toc18148"/>
      <w:r>
        <w:rPr>
          <w:rFonts w:hint="eastAsia" w:ascii="仿宋" w:hAnsi="仿宋" w:eastAsia="仿宋"/>
          <w:sz w:val="24"/>
          <w:szCs w:val="24"/>
        </w:rPr>
        <w:t>二、服务部分</w:t>
      </w:r>
      <w:bookmarkEnd w:id="95"/>
      <w:bookmarkEnd w:id="96"/>
      <w:bookmarkEnd w:id="97"/>
      <w:bookmarkEnd w:id="98"/>
    </w:p>
    <w:p>
      <w:pPr>
        <w:snapToGrid w:val="0"/>
        <w:spacing w:line="360" w:lineRule="auto"/>
        <w:jc w:val="center"/>
        <w:rPr>
          <w:rFonts w:ascii="仿宋" w:hAnsi="仿宋" w:eastAsia="仿宋"/>
          <w:sz w:val="24"/>
          <w:szCs w:val="24"/>
        </w:rPr>
      </w:pPr>
      <w:r>
        <w:rPr>
          <w:rFonts w:hint="eastAsia" w:ascii="仿宋" w:hAnsi="仿宋" w:eastAsia="仿宋"/>
          <w:sz w:val="24"/>
          <w:szCs w:val="24"/>
        </w:rPr>
        <w:t>（一）服务方案（格式自定）</w:t>
      </w:r>
    </w:p>
    <w:p>
      <w:pPr>
        <w:tabs>
          <w:tab w:val="left" w:pos="6300"/>
        </w:tabs>
        <w:snapToGrid w:val="0"/>
        <w:spacing w:line="500" w:lineRule="exact"/>
        <w:ind w:firstLine="570"/>
        <w:rPr>
          <w:rFonts w:ascii="仿宋" w:hAnsi="仿宋" w:eastAsia="仿宋"/>
          <w:szCs w:val="24"/>
        </w:rPr>
      </w:pPr>
      <w:r>
        <w:rPr>
          <w:rFonts w:ascii="仿宋" w:hAnsi="仿宋" w:eastAsia="仿宋"/>
          <w:szCs w:val="24"/>
        </w:rPr>
        <w:br w:type="page"/>
      </w:r>
      <w:r>
        <w:rPr>
          <w:rFonts w:hint="eastAsia" w:ascii="仿宋" w:hAnsi="仿宋" w:eastAsia="仿宋"/>
          <w:sz w:val="24"/>
          <w:szCs w:val="24"/>
        </w:rPr>
        <w:t>（二）服务响应偏离表</w:t>
      </w:r>
    </w:p>
    <w:p>
      <w:pPr>
        <w:pStyle w:val="32"/>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序号</w:t>
            </w: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采购需求</w:t>
            </w: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响应情况</w:t>
            </w: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rPr>
        <w:t>供应商：                                      法人授权代表：</w:t>
      </w:r>
    </w:p>
    <w:p>
      <w:pPr>
        <w:spacing w:line="500" w:lineRule="exact"/>
        <w:rPr>
          <w:rFonts w:ascii="仿宋" w:hAnsi="仿宋" w:eastAsia="仿宋"/>
          <w:sz w:val="24"/>
          <w:szCs w:val="28"/>
        </w:rPr>
      </w:pPr>
      <w:r>
        <w:rPr>
          <w:rFonts w:hint="eastAsia" w:ascii="仿宋" w:hAnsi="仿宋" w:eastAsia="仿宋"/>
          <w:sz w:val="24"/>
          <w:szCs w:val="28"/>
        </w:rPr>
        <w:t xml:space="preserve">    </w:t>
      </w:r>
    </w:p>
    <w:p>
      <w:pPr>
        <w:spacing w:line="500" w:lineRule="exact"/>
        <w:ind w:firstLine="720" w:firstLineChars="300"/>
        <w:rPr>
          <w:rFonts w:ascii="仿宋" w:hAnsi="仿宋" w:eastAsia="仿宋"/>
          <w:sz w:val="24"/>
          <w:szCs w:val="28"/>
        </w:rPr>
      </w:pPr>
      <w:r>
        <w:rPr>
          <w:rFonts w:hint="eastAsia" w:ascii="仿宋" w:hAnsi="仿宋" w:eastAsia="仿宋"/>
          <w:sz w:val="24"/>
          <w:szCs w:val="28"/>
        </w:rPr>
        <w:t>（供应商公章）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4"/>
        </w:rPr>
        <w:t>1</w:t>
      </w:r>
      <w:r>
        <w:rPr>
          <w:rFonts w:hint="eastAsia" w:ascii="仿宋" w:hAnsi="仿宋" w:eastAsia="仿宋"/>
          <w:sz w:val="24"/>
        </w:rPr>
        <w:t>、本表即为对本项目“第二篇  采购服务需求”中所列技术要求进行比较和响应；</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3、该表可扩展</w:t>
      </w:r>
      <w:r>
        <w:rPr>
          <w:rFonts w:hint="eastAsia" w:ascii="仿宋" w:hAnsi="仿宋" w:eastAsia="仿宋"/>
          <w:sz w:val="24"/>
          <w:szCs w:val="28"/>
        </w:rPr>
        <w:t>，并逐页签字或盖章</w:t>
      </w:r>
      <w:r>
        <w:rPr>
          <w:rFonts w:hint="eastAsia"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4、可附相关技术支撑材料。（格式自定）</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rPr>
        <w:t>5、若“响应情况”栏中仅填写“无偏离”或“有偏离”等内容而未作实质性参数描述，该供应商将</w:t>
      </w:r>
      <w:r>
        <w:rPr>
          <w:rFonts w:hint="eastAsia" w:ascii="仿宋" w:hAnsi="仿宋" w:eastAsia="仿宋"/>
          <w:sz w:val="24"/>
          <w:szCs w:val="24"/>
        </w:rPr>
        <w:t>失去成为成交供应商的资格，仅保留其合格供应商的身份。</w:t>
      </w:r>
    </w:p>
    <w:p>
      <w:pPr>
        <w:tabs>
          <w:tab w:val="left" w:pos="6300"/>
        </w:tabs>
        <w:snapToGrid w:val="0"/>
        <w:spacing w:line="500" w:lineRule="exact"/>
        <w:ind w:firstLine="480" w:firstLineChars="200"/>
        <w:rPr>
          <w:rFonts w:ascii="仿宋" w:hAnsi="仿宋" w:eastAsia="仿宋"/>
          <w:sz w:val="24"/>
          <w:szCs w:val="24"/>
        </w:rPr>
      </w:pPr>
    </w:p>
    <w:p>
      <w:pPr>
        <w:pStyle w:val="5"/>
        <w:spacing w:before="0" w:after="0" w:line="360" w:lineRule="auto"/>
        <w:rPr>
          <w:rFonts w:ascii="仿宋" w:hAnsi="仿宋" w:eastAsia="仿宋"/>
          <w:sz w:val="24"/>
          <w:szCs w:val="24"/>
        </w:rPr>
      </w:pPr>
      <w:r>
        <w:rPr>
          <w:rFonts w:ascii="仿宋" w:hAnsi="仿宋" w:eastAsia="仿宋"/>
          <w:b w:val="0"/>
        </w:rPr>
        <w:br w:type="page"/>
      </w:r>
      <w:bookmarkStart w:id="99" w:name="_Toc342913421"/>
      <w:bookmarkStart w:id="100" w:name="_Toc313008358"/>
      <w:bookmarkStart w:id="101" w:name="_Toc313888362"/>
      <w:bookmarkStart w:id="102" w:name="_Toc13347"/>
      <w:r>
        <w:rPr>
          <w:rFonts w:hint="eastAsia" w:ascii="仿宋" w:hAnsi="仿宋" w:eastAsia="仿宋"/>
          <w:sz w:val="24"/>
          <w:szCs w:val="24"/>
        </w:rPr>
        <w:t>三、商务部分</w:t>
      </w:r>
      <w:bookmarkEnd w:id="99"/>
      <w:bookmarkEnd w:id="100"/>
      <w:bookmarkEnd w:id="101"/>
      <w:bookmarkEnd w:id="102"/>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（一）</w:t>
      </w:r>
      <w:bookmarkStart w:id="103" w:name="_Toc283382459"/>
      <w:r>
        <w:rPr>
          <w:rFonts w:hint="eastAsia" w:ascii="仿宋" w:hAnsi="仿宋" w:eastAsia="仿宋"/>
          <w:sz w:val="24"/>
          <w:szCs w:val="24"/>
        </w:rPr>
        <w:t>商务响应偏离表</w:t>
      </w:r>
    </w:p>
    <w:p>
      <w:pPr>
        <w:snapToGrid w:val="0"/>
        <w:spacing w:line="360" w:lineRule="auto"/>
        <w:jc w:val="center"/>
        <w:rPr>
          <w:rFonts w:ascii="仿宋" w:hAnsi="仿宋" w:eastAsia="仿宋"/>
          <w:b/>
          <w:szCs w:val="28"/>
        </w:rPr>
      </w:pPr>
      <w:r>
        <w:rPr>
          <w:rFonts w:hint="eastAsia" w:ascii="仿宋" w:hAnsi="仿宋" w:eastAsia="仿宋"/>
          <w:b/>
          <w:szCs w:val="28"/>
        </w:rPr>
        <w:t>商务响应偏离表（本表可自行设计格式）</w:t>
      </w:r>
    </w:p>
    <w:p>
      <w:pPr>
        <w:snapToGrid w:val="0"/>
        <w:spacing w:line="360" w:lineRule="auto"/>
        <w:ind w:firstLine="465"/>
        <w:rPr>
          <w:rFonts w:ascii="仿宋" w:hAnsi="仿宋" w:eastAsia="仿宋"/>
          <w:sz w:val="24"/>
          <w:szCs w:val="24"/>
        </w:rPr>
      </w:pPr>
      <w:r>
        <w:rPr>
          <w:rFonts w:hint="eastAsia" w:ascii="仿宋" w:hAnsi="仿宋" w:eastAsia="仿宋"/>
          <w:sz w:val="24"/>
          <w:szCs w:val="24"/>
        </w:rPr>
        <w:t>对于竞争性磋商文件的商务要求，如有任何偏离请如实填写下表：</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序号</w:t>
            </w: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磋商项目需求</w:t>
            </w: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响应情况</w:t>
            </w: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bl>
    <w:p>
      <w:pPr>
        <w:snapToGrid w:val="0"/>
        <w:spacing w:line="360" w:lineRule="auto"/>
        <w:ind w:firstLine="465"/>
        <w:rPr>
          <w:rFonts w:ascii="仿宋" w:hAnsi="仿宋" w:eastAsia="仿宋"/>
          <w:sz w:val="24"/>
          <w:szCs w:val="24"/>
        </w:rPr>
      </w:pPr>
    </w:p>
    <w:p>
      <w:pPr>
        <w:spacing w:line="500" w:lineRule="exact"/>
        <w:ind w:firstLine="600" w:firstLineChars="250"/>
        <w:rPr>
          <w:rFonts w:ascii="仿宋" w:hAnsi="仿宋" w:eastAsia="仿宋"/>
          <w:sz w:val="24"/>
          <w:szCs w:val="28"/>
        </w:rPr>
      </w:pPr>
      <w:r>
        <w:rPr>
          <w:rFonts w:hint="eastAsia" w:ascii="仿宋" w:hAnsi="仿宋" w:eastAsia="仿宋"/>
          <w:sz w:val="24"/>
          <w:szCs w:val="28"/>
        </w:rPr>
        <w:t>供应商：                                      法人授权代表：</w:t>
      </w:r>
    </w:p>
    <w:p>
      <w:pPr>
        <w:spacing w:line="500" w:lineRule="exact"/>
        <w:rPr>
          <w:rFonts w:ascii="仿宋" w:hAnsi="仿宋" w:eastAsia="仿宋"/>
          <w:sz w:val="24"/>
          <w:szCs w:val="28"/>
        </w:rPr>
      </w:pPr>
      <w:r>
        <w:rPr>
          <w:rFonts w:hint="eastAsia" w:ascii="仿宋" w:hAnsi="仿宋" w:eastAsia="仿宋"/>
          <w:sz w:val="24"/>
          <w:szCs w:val="28"/>
        </w:rPr>
        <w:t xml:space="preserve">    </w:t>
      </w:r>
    </w:p>
    <w:p>
      <w:pPr>
        <w:spacing w:line="500" w:lineRule="exact"/>
        <w:ind w:firstLine="360" w:firstLineChars="150"/>
        <w:rPr>
          <w:rFonts w:ascii="仿宋" w:hAnsi="仿宋" w:eastAsia="仿宋"/>
          <w:sz w:val="24"/>
          <w:szCs w:val="28"/>
        </w:rPr>
      </w:pPr>
      <w:r>
        <w:rPr>
          <w:rFonts w:hint="eastAsia" w:ascii="仿宋" w:hAnsi="仿宋" w:eastAsia="仿宋"/>
          <w:sz w:val="24"/>
          <w:szCs w:val="28"/>
        </w:rPr>
        <w:t>（供应商公章）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4"/>
        </w:rPr>
        <w:t>1</w:t>
      </w:r>
      <w:r>
        <w:rPr>
          <w:rFonts w:hint="eastAsia" w:ascii="仿宋" w:hAnsi="仿宋" w:eastAsia="仿宋"/>
          <w:sz w:val="24"/>
        </w:rPr>
        <w:t>、本表即为对本项目“第三篇 采购商务需求”中所列服务要求进行比较和响应；</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3、该表可扩展</w:t>
      </w:r>
      <w:r>
        <w:rPr>
          <w:rFonts w:hint="eastAsia" w:ascii="仿宋" w:hAnsi="仿宋" w:eastAsia="仿宋"/>
          <w:sz w:val="24"/>
          <w:szCs w:val="28"/>
        </w:rPr>
        <w:t>，并逐页签字或盖章</w:t>
      </w:r>
      <w:r>
        <w:rPr>
          <w:rFonts w:hint="eastAsia" w:ascii="仿宋" w:hAnsi="仿宋" w:eastAsia="仿宋"/>
          <w:sz w:val="24"/>
        </w:rPr>
        <w:t>；</w:t>
      </w:r>
    </w:p>
    <w:p>
      <w:pPr>
        <w:spacing w:line="360" w:lineRule="auto"/>
        <w:ind w:firstLine="560" w:firstLineChars="200"/>
        <w:rPr>
          <w:rFonts w:ascii="仿宋" w:hAnsi="仿宋" w:eastAsia="仿宋"/>
          <w:sz w:val="24"/>
          <w:szCs w:val="24"/>
        </w:rPr>
      </w:pPr>
      <w:r>
        <w:rPr>
          <w:rFonts w:ascii="仿宋" w:hAnsi="仿宋" w:eastAsia="仿宋"/>
        </w:rPr>
        <w:br w:type="page"/>
      </w:r>
      <w:r>
        <w:rPr>
          <w:rFonts w:hint="eastAsia" w:ascii="仿宋" w:hAnsi="仿宋" w:eastAsia="仿宋"/>
          <w:sz w:val="24"/>
          <w:szCs w:val="24"/>
        </w:rPr>
        <w:t>（二）其它优惠承诺（格式自定）</w:t>
      </w:r>
    </w:p>
    <w:p>
      <w:pPr>
        <w:pStyle w:val="5"/>
        <w:spacing w:before="0" w:after="0" w:line="360" w:lineRule="auto"/>
        <w:rPr>
          <w:rFonts w:ascii="仿宋" w:hAnsi="仿宋" w:eastAsia="仿宋"/>
        </w:rPr>
      </w:pPr>
      <w:r>
        <w:rPr>
          <w:rFonts w:ascii="仿宋" w:hAnsi="仿宋" w:eastAsia="仿宋"/>
          <w:sz w:val="24"/>
          <w:szCs w:val="24"/>
        </w:rPr>
        <w:br w:type="page"/>
      </w:r>
      <w:bookmarkEnd w:id="103"/>
      <w:bookmarkStart w:id="104" w:name="_Toc313008359"/>
      <w:bookmarkStart w:id="105" w:name="_Toc313888363"/>
      <w:bookmarkStart w:id="106" w:name="_Toc342913422"/>
      <w:bookmarkStart w:id="107" w:name="_Toc5475"/>
      <w:r>
        <w:rPr>
          <w:rFonts w:hint="eastAsia" w:ascii="仿宋" w:hAnsi="仿宋" w:eastAsia="仿宋"/>
          <w:sz w:val="24"/>
          <w:szCs w:val="24"/>
        </w:rPr>
        <w:t>四、资格条件及其他</w:t>
      </w:r>
      <w:bookmarkEnd w:id="104"/>
      <w:bookmarkEnd w:id="105"/>
      <w:bookmarkEnd w:id="106"/>
      <w:bookmarkEnd w:id="107"/>
    </w:p>
    <w:p>
      <w:pPr>
        <w:tabs>
          <w:tab w:val="left" w:pos="6300"/>
        </w:tabs>
        <w:snapToGrid w:val="0"/>
        <w:spacing w:line="500" w:lineRule="exact"/>
        <w:ind w:firstLine="570"/>
        <w:rPr>
          <w:rFonts w:ascii="仿宋" w:hAnsi="仿宋" w:eastAsia="仿宋"/>
        </w:rPr>
      </w:pPr>
      <w:r>
        <w:rPr>
          <w:rFonts w:hint="eastAsia" w:ascii="仿宋" w:hAnsi="仿宋" w:eastAsia="仿宋"/>
        </w:rPr>
        <w:t>（一）营业执照（副本）</w:t>
      </w:r>
      <w:r>
        <w:rPr>
          <w:rFonts w:hint="eastAsia" w:ascii="仿宋" w:hAnsi="仿宋" w:eastAsia="仿宋"/>
          <w:szCs w:val="28"/>
        </w:rPr>
        <w:t>或事业单位法人证书（副本）</w:t>
      </w:r>
      <w:r>
        <w:rPr>
          <w:rFonts w:hint="eastAsia" w:ascii="仿宋" w:hAnsi="仿宋" w:eastAsia="仿宋"/>
        </w:rPr>
        <w:t>复印件或个体工商户营业执照</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widowControl/>
        <w:ind w:firstLine="560" w:firstLineChars="200"/>
        <w:jc w:val="left"/>
        <w:rPr>
          <w:rFonts w:ascii="仿宋" w:hAnsi="仿宋" w:eastAsia="仿宋"/>
        </w:rPr>
      </w:pPr>
      <w:r>
        <w:rPr>
          <w:rFonts w:ascii="仿宋" w:hAnsi="仿宋" w:eastAsia="仿宋"/>
        </w:rPr>
        <w:br w:type="page"/>
      </w:r>
      <w:r>
        <w:rPr>
          <w:rFonts w:hint="eastAsia" w:ascii="仿宋" w:hAnsi="仿宋" w:eastAsia="仿宋"/>
        </w:rPr>
        <w:t>（二）法定代表人身份证明书（格式）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项目名称：</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（法定代表人姓名）在</w:t>
      </w:r>
      <w:r>
        <w:rPr>
          <w:rFonts w:hint="eastAsia" w:ascii="仿宋" w:hAnsi="仿宋" w:eastAsia="仿宋"/>
          <w:sz w:val="24"/>
          <w:u w:val="single"/>
        </w:rPr>
        <w:t xml:space="preserve">                       </w:t>
      </w:r>
      <w:r>
        <w:rPr>
          <w:rFonts w:hint="eastAsia" w:ascii="仿宋" w:hAnsi="仿宋" w:eastAsia="仿宋"/>
          <w:sz w:val="24"/>
        </w:rPr>
        <w:t>（供应商名称）任</w:t>
      </w:r>
      <w:r>
        <w:rPr>
          <w:rFonts w:hint="eastAsia" w:ascii="仿宋" w:hAnsi="仿宋" w:eastAsia="仿宋"/>
          <w:sz w:val="24"/>
          <w:u w:val="single"/>
        </w:rPr>
        <w:t xml:space="preserve">    </w:t>
      </w:r>
      <w:r>
        <w:rPr>
          <w:rFonts w:hint="eastAsia" w:ascii="仿宋" w:hAnsi="仿宋" w:eastAsia="仿宋"/>
          <w:sz w:val="24"/>
        </w:rPr>
        <w:t>（职务名称）职务，是（供应商名称）</w:t>
      </w:r>
      <w:r>
        <w:rPr>
          <w:rFonts w:hint="eastAsia" w:ascii="仿宋" w:hAnsi="仿宋" w:eastAsia="仿宋"/>
          <w:sz w:val="24"/>
          <w:u w:val="single"/>
        </w:rPr>
        <w:t xml:space="preserve">              </w:t>
      </w:r>
      <w:r>
        <w:rPr>
          <w:rFonts w:hint="eastAsia" w:ascii="仿宋" w:hAnsi="仿宋" w:eastAsia="仿宋"/>
          <w:sz w:val="24"/>
        </w:rPr>
        <w:t>的法定代表人。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特此证明。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（供应商公章）</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年   月   日</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（附：法定代表人身份证正反面复印件）</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hint="eastAsia" w:ascii="仿宋" w:hAnsi="仿宋" w:eastAsia="仿宋"/>
        </w:rPr>
        <w:t>（三）法定代表人授权委托书（格式）</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（供应商法定代表人名称）是</w:t>
      </w:r>
      <w:r>
        <w:rPr>
          <w:rFonts w:hint="eastAsia" w:ascii="仿宋" w:hAnsi="仿宋" w:eastAsia="仿宋"/>
          <w:sz w:val="24"/>
          <w:u w:val="single"/>
        </w:rPr>
        <w:t xml:space="preserve">                    </w:t>
      </w:r>
      <w:r>
        <w:rPr>
          <w:rFonts w:hint="eastAsia" w:ascii="仿宋" w:hAnsi="仿宋" w:eastAsia="仿宋"/>
          <w:sz w:val="24"/>
        </w:rPr>
        <w:t>（供应商名称）的法定代表人，特授权</w:t>
      </w:r>
      <w:r>
        <w:rPr>
          <w:rFonts w:hint="eastAsia" w:ascii="仿宋" w:hAnsi="仿宋" w:eastAsia="仿宋"/>
          <w:sz w:val="24"/>
          <w:u w:val="single"/>
        </w:rPr>
        <w:t xml:space="preserve">          </w:t>
      </w:r>
      <w:r>
        <w:rPr>
          <w:rFonts w:hint="eastAsia" w:ascii="仿宋" w:hAnsi="仿宋" w:eastAsia="仿宋"/>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我单位对被授权人的签字负全部责任。</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被授权人：                                 供应商法定代表人：</w:t>
      </w:r>
    </w:p>
    <w:p>
      <w:pPr>
        <w:tabs>
          <w:tab w:val="left" w:pos="6300"/>
        </w:tabs>
        <w:snapToGrid w:val="0"/>
        <w:spacing w:line="500" w:lineRule="exact"/>
        <w:ind w:firstLine="570"/>
        <w:rPr>
          <w:rFonts w:ascii="仿宋" w:hAnsi="仿宋" w:eastAsia="仿宋"/>
          <w:sz w:val="24"/>
          <w:szCs w:val="28"/>
        </w:rPr>
      </w:pPr>
      <w:r>
        <w:rPr>
          <w:rFonts w:hint="eastAsia" w:ascii="仿宋" w:hAnsi="仿宋" w:eastAsia="仿宋"/>
          <w:sz w:val="24"/>
          <w:szCs w:val="28"/>
        </w:rPr>
        <w:t>（签字或盖章）                                （签字或盖章）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（附：被授权人身份证正反面复印件）</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（供应商公章）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tabs>
          <w:tab w:val="left" w:pos="6300"/>
        </w:tabs>
        <w:snapToGrid w:val="0"/>
        <w:spacing w:line="500" w:lineRule="exact"/>
        <w:ind w:right="480" w:firstLine="570"/>
        <w:jc w:val="right"/>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p>
    <w:p>
      <w:pPr>
        <w:tabs>
          <w:tab w:val="left" w:pos="6300"/>
        </w:tabs>
        <w:snapToGrid w:val="0"/>
        <w:spacing w:line="500" w:lineRule="exact"/>
        <w:ind w:right="480" w:firstLine="570"/>
        <w:jc w:val="left"/>
        <w:rPr>
          <w:rFonts w:ascii="仿宋" w:hAnsi="仿宋" w:eastAsia="仿宋"/>
          <w:sz w:val="24"/>
        </w:rPr>
      </w:pPr>
      <w:r>
        <w:rPr>
          <w:rFonts w:hint="eastAsia" w:ascii="仿宋" w:hAnsi="仿宋" w:eastAsia="仿宋"/>
          <w:sz w:val="24"/>
        </w:rPr>
        <w:t>注：</w:t>
      </w:r>
    </w:p>
    <w:p>
      <w:pPr>
        <w:tabs>
          <w:tab w:val="left" w:pos="6300"/>
        </w:tabs>
        <w:snapToGrid w:val="0"/>
        <w:spacing w:line="500" w:lineRule="exact"/>
        <w:ind w:right="480" w:firstLine="570"/>
        <w:jc w:val="left"/>
        <w:rPr>
          <w:rFonts w:ascii="仿宋" w:hAnsi="仿宋" w:eastAsia="仿宋"/>
          <w:sz w:val="24"/>
        </w:rPr>
      </w:pP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hint="eastAsia" w:ascii="仿宋" w:hAnsi="仿宋" w:eastAsia="仿宋"/>
        </w:rPr>
        <w:t>（四）上一年度财务会计报告（表）复印件，本年度新成立的公司提供递交响应文件截止时间前一个月的财务会计报告（表）复印件（新成立公司不足一个月的除外）</w:t>
      </w: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570"/>
        <w:jc w:val="center"/>
        <w:rPr>
          <w:rFonts w:ascii="仿宋" w:hAnsi="仿宋" w:eastAsia="仿宋"/>
        </w:rPr>
      </w:pPr>
    </w:p>
    <w:p>
      <w:pPr>
        <w:tabs>
          <w:tab w:val="left" w:pos="6300"/>
        </w:tabs>
        <w:snapToGrid w:val="0"/>
        <w:spacing w:line="500" w:lineRule="exact"/>
        <w:ind w:firstLine="3220" w:firstLineChars="1150"/>
        <w:rPr>
          <w:rFonts w:ascii="仿宋" w:hAnsi="仿宋" w:eastAsia="仿宋"/>
          <w:sz w:val="24"/>
        </w:rPr>
      </w:pPr>
      <w:r>
        <w:rPr>
          <w:rFonts w:hint="eastAsia" w:ascii="仿宋" w:hAnsi="仿宋" w:eastAsia="仿宋"/>
        </w:rPr>
        <w:t>（五）书面声明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并随时接受采购人、采购代理机构的检查验证，符合《政府采购法》规定的供应商资格条件。我方对以上声明负全部法律责任。</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24" w:firstLine="570"/>
        <w:jc w:val="right"/>
        <w:rPr>
          <w:rFonts w:ascii="仿宋" w:hAnsi="仿宋" w:eastAsia="仿宋"/>
          <w:sz w:val="24"/>
        </w:rPr>
      </w:pPr>
      <w:r>
        <w:rPr>
          <w:rFonts w:hint="eastAsia" w:ascii="仿宋" w:hAnsi="仿宋" w:eastAsia="仿宋"/>
          <w:sz w:val="24"/>
        </w:rPr>
        <w:t>（供应商公章）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tabs>
          <w:tab w:val="left" w:pos="6300"/>
        </w:tabs>
        <w:snapToGrid w:val="0"/>
        <w:spacing w:line="500" w:lineRule="exact"/>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tabs>
          <w:tab w:val="left" w:pos="6300"/>
        </w:tabs>
        <w:snapToGrid w:val="0"/>
        <w:spacing w:line="500" w:lineRule="exact"/>
        <w:ind w:firstLine="560" w:firstLineChars="200"/>
        <w:rPr>
          <w:rFonts w:ascii="仿宋" w:hAnsi="仿宋" w:eastAsia="仿宋"/>
        </w:rPr>
      </w:pPr>
    </w:p>
    <w:p>
      <w:pPr>
        <w:pStyle w:val="4"/>
        <w:pageBreakBefore/>
        <w:spacing w:line="500" w:lineRule="exact"/>
        <w:rPr>
          <w:rFonts w:ascii="仿宋" w:hAnsi="仿宋" w:eastAsia="仿宋"/>
          <w:sz w:val="24"/>
          <w:szCs w:val="24"/>
        </w:rPr>
      </w:pPr>
      <w:bookmarkStart w:id="108" w:name="_Toc492721041"/>
      <w:bookmarkStart w:id="109" w:name="_Toc429584888"/>
      <w:bookmarkStart w:id="110" w:name="_Toc2678960"/>
      <w:bookmarkStart w:id="111" w:name="_Toc27672"/>
      <w:r>
        <w:rPr>
          <w:rFonts w:hint="eastAsia" w:ascii="仿宋" w:hAnsi="仿宋" w:eastAsia="仿宋"/>
          <w:sz w:val="24"/>
          <w:szCs w:val="24"/>
        </w:rPr>
        <w:t>五、其他</w:t>
      </w:r>
      <w:bookmarkEnd w:id="108"/>
      <w:bookmarkEnd w:id="109"/>
      <w:bookmarkEnd w:id="110"/>
      <w:bookmarkEnd w:id="111"/>
    </w:p>
    <w:p>
      <w:pPr>
        <w:spacing w:line="550" w:lineRule="exact"/>
        <w:rPr>
          <w:rFonts w:ascii="仿宋" w:hAnsi="仿宋" w:eastAsia="仿宋" w:cs="仿宋"/>
          <w:sz w:val="24"/>
          <w:szCs w:val="24"/>
        </w:rPr>
      </w:pPr>
      <w:r>
        <w:rPr>
          <w:rFonts w:hint="eastAsia" w:ascii="仿宋" w:hAnsi="仿宋" w:eastAsia="仿宋" w:cs="仿宋"/>
          <w:sz w:val="24"/>
          <w:szCs w:val="24"/>
        </w:rPr>
        <w:t>（一）                        中小微企业声明函</w:t>
      </w:r>
    </w:p>
    <w:p>
      <w:pPr>
        <w:spacing w:line="550" w:lineRule="exact"/>
        <w:rPr>
          <w:rFonts w:ascii="仿宋" w:hAnsi="仿宋" w:eastAsia="仿宋" w:cs="仿宋"/>
          <w:sz w:val="24"/>
          <w:szCs w:val="24"/>
        </w:rPr>
      </w:pPr>
    </w:p>
    <w:p>
      <w:pPr>
        <w:spacing w:line="550" w:lineRule="exact"/>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p>
      <w:pPr>
        <w:spacing w:line="550" w:lineRule="exact"/>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（采购人名称）</w:t>
      </w:r>
    </w:p>
    <w:p>
      <w:pPr>
        <w:spacing w:line="550" w:lineRule="exact"/>
        <w:ind w:firstLine="480" w:firstLineChars="200"/>
        <w:rPr>
          <w:rFonts w:ascii="仿宋" w:hAnsi="仿宋" w:eastAsia="仿宋" w:cs="仿宋"/>
          <w:sz w:val="24"/>
          <w:szCs w:val="24"/>
        </w:rPr>
      </w:pPr>
      <w:r>
        <w:rPr>
          <w:rFonts w:hint="eastAsia" w:ascii="仿宋" w:hAnsi="仿宋" w:eastAsia="仿宋" w:cs="仿宋"/>
          <w:sz w:val="24"/>
          <w:szCs w:val="24"/>
        </w:rPr>
        <w:t>本企业郑重声明，根据《政府采购促进中小企业发展暂行办法》（财库〔2011〕181号）的规定，本企业为</w:t>
      </w:r>
      <w:r>
        <w:rPr>
          <w:rFonts w:hint="eastAsia" w:ascii="仿宋" w:hAnsi="仿宋" w:eastAsia="仿宋" w:cs="仿宋"/>
          <w:sz w:val="24"/>
          <w:szCs w:val="24"/>
          <w:u w:val="single"/>
        </w:rPr>
        <w:t xml:space="preserve">       </w:t>
      </w:r>
      <w:r>
        <w:rPr>
          <w:rFonts w:hint="eastAsia" w:ascii="仿宋" w:hAnsi="仿宋" w:eastAsia="仿宋" w:cs="仿宋"/>
          <w:sz w:val="24"/>
          <w:szCs w:val="24"/>
        </w:rPr>
        <w:t>（请填写：中型、小型、微型）企业。即，本企业同时满足以下条件：</w:t>
      </w:r>
    </w:p>
    <w:p>
      <w:pPr>
        <w:spacing w:line="550" w:lineRule="exact"/>
        <w:ind w:firstLine="480" w:firstLineChars="200"/>
        <w:rPr>
          <w:rFonts w:ascii="仿宋" w:hAnsi="仿宋" w:eastAsia="仿宋" w:cs="仿宋"/>
          <w:sz w:val="24"/>
          <w:szCs w:val="24"/>
        </w:rPr>
      </w:pPr>
      <w:r>
        <w:rPr>
          <w:rFonts w:hint="eastAsia" w:ascii="仿宋" w:hAnsi="仿宋" w:eastAsia="仿宋" w:cs="仿宋"/>
          <w:sz w:val="24"/>
          <w:szCs w:val="24"/>
        </w:rPr>
        <w:t>1.根据《工业和信息化部 国家统计局 国家发展和改革委员会 财政部关于印发中小企业划型标准规定的通知》（工信部联企业〔2011〕300号）的划分标准，本企业为</w:t>
      </w:r>
      <w:r>
        <w:rPr>
          <w:rFonts w:hint="eastAsia" w:ascii="仿宋" w:hAnsi="仿宋" w:eastAsia="仿宋" w:cs="仿宋"/>
          <w:sz w:val="24"/>
          <w:szCs w:val="24"/>
          <w:u w:val="single"/>
        </w:rPr>
        <w:t xml:space="preserve">               </w:t>
      </w:r>
      <w:r>
        <w:rPr>
          <w:rFonts w:hint="eastAsia" w:ascii="仿宋" w:hAnsi="仿宋" w:eastAsia="仿宋" w:cs="仿宋"/>
          <w:sz w:val="24"/>
          <w:szCs w:val="24"/>
        </w:rPr>
        <w:t>行业（行业类别）的</w:t>
      </w:r>
      <w:r>
        <w:rPr>
          <w:rFonts w:hint="eastAsia" w:ascii="仿宋" w:hAnsi="仿宋" w:eastAsia="仿宋" w:cs="仿宋"/>
          <w:sz w:val="24"/>
          <w:szCs w:val="24"/>
          <w:u w:val="single"/>
        </w:rPr>
        <w:t xml:space="preserve">        </w:t>
      </w:r>
      <w:r>
        <w:rPr>
          <w:rFonts w:hint="eastAsia" w:ascii="仿宋" w:hAnsi="仿宋" w:eastAsia="仿宋" w:cs="仿宋"/>
          <w:sz w:val="24"/>
          <w:szCs w:val="24"/>
        </w:rPr>
        <w:t>（请填写：中型、小型、微型）企业。</w:t>
      </w:r>
    </w:p>
    <w:p>
      <w:pPr>
        <w:spacing w:line="550" w:lineRule="exact"/>
        <w:ind w:firstLine="480" w:firstLineChars="200"/>
        <w:rPr>
          <w:rFonts w:ascii="仿宋" w:hAnsi="仿宋" w:eastAsia="仿宋" w:cs="仿宋"/>
          <w:sz w:val="24"/>
          <w:szCs w:val="24"/>
        </w:rPr>
      </w:pPr>
      <w:r>
        <w:rPr>
          <w:rFonts w:hint="eastAsia" w:ascii="仿宋" w:hAnsi="仿宋" w:eastAsia="仿宋" w:cs="仿宋"/>
          <w:sz w:val="24"/>
          <w:szCs w:val="24"/>
        </w:rPr>
        <w:t>2.本企业参加本项目提供本企业制造的货物、承担的工程或者服务，或者提供他小微企业制造的货物。</w:t>
      </w:r>
    </w:p>
    <w:p>
      <w:pPr>
        <w:spacing w:line="550" w:lineRule="exact"/>
        <w:jc w:val="center"/>
        <w:rPr>
          <w:rFonts w:ascii="仿宋" w:hAnsi="仿宋" w:eastAsia="仿宋" w:cs="仿宋"/>
          <w:sz w:val="24"/>
          <w:szCs w:val="24"/>
        </w:rPr>
      </w:pPr>
      <w:r>
        <w:rPr>
          <w:rFonts w:hint="eastAsia" w:ascii="仿宋" w:hAnsi="仿宋" w:eastAsia="仿宋" w:cs="仿宋"/>
          <w:sz w:val="24"/>
          <w:szCs w:val="24"/>
        </w:rPr>
        <w:t>企业基本情况表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2271"/>
        <w:gridCol w:w="2271"/>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行业类别</w:t>
            </w:r>
          </w:p>
        </w:tc>
        <w:tc>
          <w:tcPr>
            <w:tcW w:w="227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营业收入（万元）</w:t>
            </w:r>
          </w:p>
        </w:tc>
        <w:tc>
          <w:tcPr>
            <w:tcW w:w="227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从业人员（人）</w:t>
            </w:r>
          </w:p>
        </w:tc>
        <w:tc>
          <w:tcPr>
            <w:tcW w:w="227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vAlign w:val="center"/>
          </w:tcPr>
          <w:p>
            <w:pPr>
              <w:spacing w:line="400" w:lineRule="exact"/>
              <w:rPr>
                <w:rFonts w:ascii="仿宋" w:hAnsi="仿宋" w:eastAsia="仿宋" w:cs="仿宋"/>
                <w:sz w:val="24"/>
                <w:szCs w:val="24"/>
              </w:rPr>
            </w:pPr>
          </w:p>
        </w:tc>
        <w:tc>
          <w:tcPr>
            <w:tcW w:w="2271" w:type="dxa"/>
            <w:vAlign w:val="center"/>
          </w:tcPr>
          <w:p>
            <w:pPr>
              <w:spacing w:line="400" w:lineRule="exact"/>
              <w:rPr>
                <w:rFonts w:ascii="仿宋" w:hAnsi="仿宋" w:eastAsia="仿宋" w:cs="仿宋"/>
                <w:sz w:val="24"/>
                <w:szCs w:val="24"/>
              </w:rPr>
            </w:pPr>
          </w:p>
        </w:tc>
        <w:tc>
          <w:tcPr>
            <w:tcW w:w="2271" w:type="dxa"/>
            <w:vAlign w:val="center"/>
          </w:tcPr>
          <w:p>
            <w:pPr>
              <w:spacing w:line="400" w:lineRule="exact"/>
              <w:rPr>
                <w:rFonts w:ascii="仿宋" w:hAnsi="仿宋" w:eastAsia="仿宋" w:cs="仿宋"/>
                <w:sz w:val="24"/>
                <w:szCs w:val="24"/>
              </w:rPr>
            </w:pPr>
          </w:p>
        </w:tc>
        <w:tc>
          <w:tcPr>
            <w:tcW w:w="2272" w:type="dxa"/>
            <w:vAlign w:val="center"/>
          </w:tcPr>
          <w:p>
            <w:pPr>
              <w:spacing w:line="400" w:lineRule="exact"/>
              <w:rPr>
                <w:rFonts w:ascii="仿宋" w:hAnsi="仿宋" w:eastAsia="仿宋" w:cs="仿宋"/>
                <w:sz w:val="24"/>
                <w:szCs w:val="24"/>
              </w:rPr>
            </w:pPr>
          </w:p>
        </w:tc>
      </w:tr>
    </w:tbl>
    <w:p>
      <w:pPr>
        <w:spacing w:line="578" w:lineRule="exact"/>
        <w:ind w:firstLine="480" w:firstLineChars="200"/>
        <w:rPr>
          <w:rFonts w:ascii="仿宋" w:hAnsi="仿宋" w:eastAsia="仿宋" w:cs="仿宋"/>
          <w:sz w:val="24"/>
          <w:szCs w:val="24"/>
        </w:rPr>
      </w:pPr>
      <w:r>
        <w:rPr>
          <w:rFonts w:hint="eastAsia" w:ascii="仿宋" w:hAnsi="仿宋" w:eastAsia="仿宋" w:cs="仿宋"/>
          <w:sz w:val="24"/>
          <w:szCs w:val="24"/>
        </w:rPr>
        <w:t>本企业对上述声明的真实性负责。如有虚假，将依法承担相应责任。</w:t>
      </w:r>
    </w:p>
    <w:p>
      <w:pPr>
        <w:spacing w:line="578" w:lineRule="exact"/>
        <w:rPr>
          <w:rFonts w:ascii="仿宋" w:hAnsi="仿宋" w:eastAsia="仿宋" w:cs="仿宋"/>
          <w:sz w:val="24"/>
          <w:szCs w:val="24"/>
        </w:rPr>
      </w:pPr>
    </w:p>
    <w:p>
      <w:pPr>
        <w:spacing w:line="578" w:lineRule="exact"/>
        <w:ind w:firstLine="3081" w:firstLineChars="1284"/>
        <w:rPr>
          <w:rFonts w:ascii="仿宋" w:hAnsi="仿宋" w:eastAsia="仿宋" w:cs="仿宋"/>
          <w:sz w:val="24"/>
          <w:szCs w:val="24"/>
        </w:rPr>
      </w:pPr>
      <w:r>
        <w:rPr>
          <w:rFonts w:hint="eastAsia" w:ascii="仿宋" w:hAnsi="仿宋" w:eastAsia="仿宋" w:cs="仿宋"/>
          <w:sz w:val="24"/>
          <w:szCs w:val="24"/>
        </w:rPr>
        <w:t>供应商名称（公章）：</w:t>
      </w:r>
    </w:p>
    <w:p>
      <w:pPr>
        <w:spacing w:line="578" w:lineRule="exact"/>
        <w:ind w:firstLine="4440" w:firstLineChars="1850"/>
        <w:rPr>
          <w:rFonts w:ascii="仿宋" w:hAnsi="仿宋" w:eastAsia="仿宋" w:cs="仿宋"/>
          <w:sz w:val="24"/>
          <w:szCs w:val="24"/>
        </w:rPr>
      </w:pPr>
      <w:r>
        <w:rPr>
          <w:rFonts w:hint="eastAsia" w:ascii="仿宋" w:hAnsi="仿宋" w:eastAsia="仿宋" w:cs="仿宋"/>
          <w:sz w:val="24"/>
          <w:szCs w:val="24"/>
        </w:rPr>
        <w:t>年  月  日</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填写《企业基本情况表》时，应注意以下事项：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1.除建筑业、房地产开发经营、租赁和商务服务业三个行业外，其余行业无需填写资产总额项。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2.农、林、牧、渔业无需填写从业人员和资产总额项。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3.小微企业投标（供应）的产品若涉及到其他企业制造且符合扶持小微企业政策的，还需提供所涉及的其他企业的《中小微企业声明函》，否则将不被认定为小微企业。</w:t>
      </w:r>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br w:type="page"/>
      </w:r>
      <w:r>
        <w:rPr>
          <w:rFonts w:hint="eastAsia" w:ascii="仿宋" w:hAnsi="仿宋" w:eastAsia="仿宋"/>
        </w:rPr>
        <w:t>2.</w:t>
      </w:r>
      <w:r>
        <w:rPr>
          <w:rFonts w:hint="eastAsia" w:ascii="仿宋" w:hAnsi="仿宋" w:eastAsia="仿宋"/>
          <w:sz w:val="29"/>
          <w:szCs w:val="29"/>
        </w:rPr>
        <w:t>监狱企业证明文件</w:t>
      </w:r>
    </w:p>
    <w:p>
      <w:pPr>
        <w:tabs>
          <w:tab w:val="left" w:pos="6300"/>
        </w:tabs>
        <w:snapToGrid w:val="0"/>
        <w:spacing w:line="500" w:lineRule="exact"/>
        <w:ind w:firstLine="580" w:firstLineChars="200"/>
        <w:outlineLvl w:val="0"/>
        <w:rPr>
          <w:rFonts w:ascii="仿宋" w:hAnsi="仿宋" w:eastAsia="仿宋"/>
        </w:rPr>
      </w:pPr>
      <w:r>
        <w:rPr>
          <w:rFonts w:hint="eastAsia" w:ascii="仿宋" w:hAnsi="仿宋" w:eastAsia="仿宋"/>
          <w:sz w:val="29"/>
          <w:szCs w:val="29"/>
        </w:rPr>
        <w:t>以省级以上监狱管理局、戒毒管理局（含新疆生产建设兵团）出具的属于监狱企业的证明文件为准。</w:t>
      </w:r>
      <w:r>
        <w:rPr>
          <w:rFonts w:ascii="仿宋" w:hAnsi="仿宋" w:eastAsia="仿宋"/>
        </w:rPr>
        <w:br w:type="page"/>
      </w:r>
      <w:r>
        <w:rPr>
          <w:rFonts w:hint="eastAsia" w:ascii="仿宋" w:hAnsi="仿宋" w:eastAsia="仿宋"/>
        </w:rPr>
        <w:t>3.残疾人福利性单位声明函</w:t>
      </w:r>
    </w:p>
    <w:p>
      <w:pPr>
        <w:tabs>
          <w:tab w:val="left" w:pos="6300"/>
        </w:tabs>
        <w:snapToGrid w:val="0"/>
        <w:spacing w:line="500" w:lineRule="exact"/>
        <w:ind w:firstLine="560" w:firstLineChars="200"/>
        <w:jc w:val="center"/>
        <w:outlineLvl w:val="0"/>
        <w:rPr>
          <w:rFonts w:ascii="仿宋" w:hAnsi="仿宋" w:eastAsia="仿宋"/>
        </w:rPr>
      </w:pPr>
      <w:r>
        <w:rPr>
          <w:rFonts w:hint="eastAsia" w:ascii="仿宋" w:hAnsi="仿宋" w:eastAsia="仿宋"/>
        </w:rPr>
        <w:t>残疾人福利性单位声明函</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本单位对上述声明的真实性负责。如有虚假，将依法承担相应责任。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 xml:space="preserve">                                                  投标人名称（盖章）：</w:t>
      </w:r>
    </w:p>
    <w:p>
      <w:pPr>
        <w:tabs>
          <w:tab w:val="left" w:pos="6300"/>
        </w:tabs>
        <w:snapToGrid w:val="0"/>
        <w:spacing w:line="500" w:lineRule="exact"/>
        <w:ind w:firstLine="570"/>
        <w:jc w:val="left"/>
        <w:rPr>
          <w:rFonts w:ascii="仿宋" w:hAnsi="仿宋" w:eastAsia="仿宋"/>
        </w:rPr>
      </w:pPr>
      <w:r>
        <w:rPr>
          <w:rFonts w:hint="eastAsia" w:ascii="仿宋" w:hAnsi="仿宋" w:eastAsia="仿宋"/>
          <w:sz w:val="24"/>
        </w:rPr>
        <w:t xml:space="preserve">                                                  日  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6300"/>
        </w:tabs>
        <w:snapToGrid w:val="0"/>
        <w:spacing w:line="500" w:lineRule="exact"/>
        <w:ind w:firstLine="560" w:firstLineChars="200"/>
        <w:rPr>
          <w:rFonts w:ascii="仿宋" w:hAnsi="仿宋" w:eastAsia="仿宋"/>
        </w:rPr>
      </w:pPr>
    </w:p>
    <w:p>
      <w:pPr>
        <w:pStyle w:val="5"/>
        <w:spacing w:before="0" w:after="0" w:line="360" w:lineRule="auto"/>
        <w:rPr>
          <w:rFonts w:ascii="仿宋" w:hAnsi="仿宋" w:eastAsia="仿宋"/>
          <w:sz w:val="24"/>
          <w:szCs w:val="24"/>
        </w:rPr>
      </w:pPr>
      <w:bookmarkStart w:id="112" w:name="_Toc14422"/>
      <w:bookmarkStart w:id="113" w:name="_Toc22605"/>
      <w:r>
        <w:rPr>
          <w:rFonts w:hint="eastAsia" w:ascii="仿宋" w:hAnsi="仿宋" w:eastAsia="仿宋"/>
          <w:sz w:val="24"/>
          <w:szCs w:val="24"/>
        </w:rPr>
        <w:t>六、其他应提供的资料</w:t>
      </w:r>
      <w:bookmarkEnd w:id="112"/>
      <w:bookmarkEnd w:id="113"/>
    </w:p>
    <w:p>
      <w:pPr>
        <w:tabs>
          <w:tab w:val="left" w:pos="6300"/>
        </w:tabs>
        <w:snapToGrid w:val="0"/>
        <w:spacing w:line="360" w:lineRule="auto"/>
        <w:rPr>
          <w:rFonts w:ascii="仿宋" w:hAnsi="仿宋" w:eastAsia="仿宋"/>
          <w:sz w:val="24"/>
          <w:szCs w:val="24"/>
        </w:rPr>
      </w:pPr>
      <w:r>
        <w:rPr>
          <w:rFonts w:hint="eastAsia" w:ascii="仿宋" w:hAnsi="仿宋" w:eastAsia="仿宋"/>
          <w:sz w:val="24"/>
          <w:szCs w:val="24"/>
        </w:rPr>
        <w:t>（一）提供企业所在地的县级以上中小企业主管部门的证明文件</w:t>
      </w:r>
    </w:p>
    <w:p>
      <w:pPr>
        <w:tabs>
          <w:tab w:val="left" w:pos="6300"/>
        </w:tabs>
        <w:snapToGrid w:val="0"/>
        <w:spacing w:line="360" w:lineRule="auto"/>
        <w:rPr>
          <w:rFonts w:ascii="仿宋" w:hAnsi="仿宋" w:eastAsia="仿宋"/>
          <w:sz w:val="24"/>
          <w:szCs w:val="24"/>
        </w:rPr>
      </w:pPr>
      <w:r>
        <w:rPr>
          <w:rFonts w:hint="eastAsia" w:ascii="仿宋" w:hAnsi="仿宋" w:eastAsia="仿宋"/>
          <w:sz w:val="24"/>
          <w:szCs w:val="24"/>
        </w:rPr>
        <w:t>（二）其他资料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1、磋商保证金缴纳情况证明文件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2、其他与项目有关的资料（自附）：供应商总体情况介绍、其他与本项目有关的资料等。</w:t>
      </w:r>
    </w:p>
    <w:p>
      <w:pPr>
        <w:spacing w:line="360" w:lineRule="auto"/>
        <w:rPr>
          <w:rFonts w:ascii="仿宋" w:hAnsi="仿宋" w:eastAsia="仿宋"/>
          <w:sz w:val="24"/>
          <w:szCs w:val="24"/>
        </w:rPr>
      </w:pPr>
    </w:p>
    <w:p>
      <w:pPr>
        <w:spacing w:line="360" w:lineRule="auto"/>
        <w:ind w:firstLine="480" w:firstLineChars="200"/>
        <w:jc w:val="center"/>
        <w:rPr>
          <w:rFonts w:ascii="仿宋" w:hAnsi="仿宋" w:eastAsia="仿宋"/>
        </w:rPr>
      </w:pPr>
      <w:r>
        <w:rPr>
          <w:rFonts w:hint="eastAsia" w:ascii="仿宋" w:hAnsi="仿宋" w:eastAsia="仿宋"/>
          <w:sz w:val="24"/>
          <w:szCs w:val="24"/>
        </w:rPr>
        <w:t>（结束）</w:t>
      </w:r>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BB8F0D-F3CF-4A17-A0E2-3655D9A1B3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embedRegular r:id="rId2" w:fontKey="{C56C8301-0852-4A47-B3FC-28542790AC30}"/>
  </w:font>
  <w:font w:name="PMingLiU">
    <w:altName w:val="Microsoft JhengHei UI"/>
    <w:panose1 w:val="02010601000101010101"/>
    <w:charset w:val="88"/>
    <w:family w:val="auto"/>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3" w:fontKey="{06F8EE50-F1F1-40C6-9FB3-0CB81004A02F}"/>
  </w:font>
  <w:font w:name="方正仿宋_GBK">
    <w:panose1 w:val="03000509000000000000"/>
    <w:charset w:val="86"/>
    <w:family w:val="script"/>
    <w:pitch w:val="default"/>
    <w:sig w:usb0="00000000" w:usb1="00000000" w:usb2="00000000" w:usb3="00000000" w:csb0="00000000" w:csb1="00000000"/>
    <w:embedRegular r:id="rId4" w:fontKey="{61C43655-C4E6-41F5-873E-7DFB1EE1CB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rFonts w:ascii="宋体"/>
        <w:sz w:val="21"/>
        <w:szCs w:val="21"/>
      </w:rPr>
    </w:pPr>
    <w:r>
      <w:rPr>
        <w:rFonts w:ascii="宋体"/>
        <w:sz w:val="21"/>
        <w:szCs w:val="21"/>
      </w:rPr>
      <w:fldChar w:fldCharType="begin"/>
    </w:r>
    <w:r>
      <w:rPr>
        <w:rStyle w:val="60"/>
        <w:rFonts w:ascii="宋体"/>
        <w:sz w:val="21"/>
        <w:szCs w:val="21"/>
      </w:rPr>
      <w:instrText xml:space="preserve">PAGE  </w:instrText>
    </w:r>
    <w:r>
      <w:rPr>
        <w:rFonts w:ascii="宋体"/>
        <w:sz w:val="21"/>
        <w:szCs w:val="21"/>
      </w:rPr>
      <w:fldChar w:fldCharType="separate"/>
    </w:r>
    <w:r>
      <w:rPr>
        <w:rStyle w:val="60"/>
        <w:rFonts w:ascii="宋体"/>
        <w:sz w:val="21"/>
        <w:szCs w:val="21"/>
      </w:rPr>
      <w:t>- 8 -</w:t>
    </w:r>
    <w:r>
      <w:rPr>
        <w:rFonts w:ascii="宋体"/>
        <w:sz w:val="21"/>
        <w:szCs w:val="2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0"/>
        <w:rFonts w:ascii="宋体" w:hAnsi="宋体"/>
        <w:sz w:val="21"/>
        <w:szCs w:val="21"/>
      </w:rPr>
      <w:instrText xml:space="preserve"> PAGE </w:instrText>
    </w:r>
    <w:r>
      <w:rPr>
        <w:rFonts w:ascii="宋体" w:hAnsi="宋体"/>
        <w:sz w:val="21"/>
        <w:szCs w:val="21"/>
      </w:rPr>
      <w:fldChar w:fldCharType="separate"/>
    </w:r>
    <w:r>
      <w:rPr>
        <w:rStyle w:val="60"/>
        <w:rFonts w:ascii="宋体" w:hAnsi="宋体"/>
        <w:sz w:val="21"/>
        <w:szCs w:val="21"/>
      </w:rPr>
      <w:t>- 12 -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0"/>
        <w:rFonts w:ascii="宋体" w:hAnsi="宋体"/>
        <w:sz w:val="21"/>
        <w:szCs w:val="21"/>
      </w:rPr>
      <w:instrText xml:space="preserve"> PAGE </w:instrText>
    </w:r>
    <w:r>
      <w:rPr>
        <w:rFonts w:ascii="宋体" w:hAnsi="宋体"/>
        <w:sz w:val="21"/>
        <w:szCs w:val="21"/>
      </w:rPr>
      <w:fldChar w:fldCharType="separate"/>
    </w:r>
    <w:r>
      <w:rPr>
        <w:rStyle w:val="60"/>
        <w:rFonts w:ascii="宋体" w:hAnsi="宋体"/>
        <w:sz w:val="21"/>
        <w:szCs w:val="21"/>
      </w:rPr>
      <w:t>- 42 -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left" w:pos="8185"/>
        <w:tab w:val="clear" w:pos="4153"/>
      </w:tabs>
      <w:jc w:val="left"/>
      <w:rPr>
        <w:rFonts w:ascii="方正仿宋_GBK"/>
        <w:sz w:val="21"/>
        <w:szCs w:val="21"/>
      </w:rPr>
    </w:pPr>
    <w:r>
      <w:rPr>
        <w:rFonts w:hint="eastAsia" w:ascii="方正仿宋_GBK"/>
        <w:sz w:val="21"/>
        <w:szCs w:val="21"/>
      </w:rPr>
      <w:t xml:space="preserve"> 重庆宏仁招标代理有限公司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sz w:val="21"/>
        <w:szCs w:val="21"/>
      </w:rPr>
    </w:pPr>
    <w:r>
      <w:rPr>
        <w:rFonts w:hint="eastAsia" w:ascii="方正仿宋_GBK"/>
        <w:sz w:val="21"/>
        <w:szCs w:val="21"/>
      </w:rPr>
      <w:t>重庆宏仁招标代理有限公司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sz w:val="21"/>
        <w:szCs w:val="21"/>
      </w:rPr>
    </w:pPr>
    <w:r>
      <w:rPr>
        <w:rFonts w:hint="eastAsia" w:ascii="方正仿宋_GBK"/>
        <w:sz w:val="21"/>
        <w:szCs w:val="21"/>
      </w:rPr>
      <w:t>重庆宏仁招标代理有限公司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18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1"/>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4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221"/>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94"/>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1"/>
    <w:multiLevelType w:val="multilevel"/>
    <w:tmpl w:val="00000011"/>
    <w:lvl w:ilvl="0" w:tentative="0">
      <w:start w:val="1"/>
      <w:numFmt w:val="decimal"/>
      <w:pStyle w:val="179"/>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bullet"/>
      <w:pStyle w:val="206"/>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3"/>
    <w:multiLevelType w:val="singleLevel"/>
    <w:tmpl w:val="00000013"/>
    <w:lvl w:ilvl="0" w:tentative="0">
      <w:start w:val="1"/>
      <w:numFmt w:val="decimal"/>
      <w:pStyle w:val="14"/>
      <w:lvlText w:val="%1."/>
      <w:lvlJc w:val="left"/>
      <w:pPr>
        <w:tabs>
          <w:tab w:val="left" w:pos="425"/>
        </w:tabs>
        <w:ind w:left="425" w:hanging="425"/>
      </w:pPr>
      <w:rPr>
        <w:rFonts w:hint="default"/>
      </w:rPr>
    </w:lvl>
  </w:abstractNum>
  <w:abstractNum w:abstractNumId="8">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6"/>
    <w:multiLevelType w:val="singleLevel"/>
    <w:tmpl w:val="00000016"/>
    <w:lvl w:ilvl="0" w:tentative="0">
      <w:start w:val="1"/>
      <w:numFmt w:val="decimal"/>
      <w:pStyle w:val="201"/>
      <w:lvlText w:val="%1)"/>
      <w:lvlJc w:val="left"/>
      <w:pPr>
        <w:tabs>
          <w:tab w:val="left" w:pos="425"/>
        </w:tabs>
        <w:ind w:left="425" w:hanging="425"/>
      </w:pPr>
      <w:rPr>
        <w:rFonts w:hint="eastAsia"/>
      </w:rPr>
    </w:lvl>
  </w:abstractNum>
  <w:abstractNum w:abstractNumId="10">
    <w:nsid w:val="00000017"/>
    <w:multiLevelType w:val="multilevel"/>
    <w:tmpl w:val="00000017"/>
    <w:lvl w:ilvl="0" w:tentative="0">
      <w:start w:val="1"/>
      <w:numFmt w:val="chineseCountingThousand"/>
      <w:pStyle w:val="159"/>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6905399"/>
    <w:multiLevelType w:val="singleLevel"/>
    <w:tmpl w:val="36905399"/>
    <w:lvl w:ilvl="0" w:tentative="0">
      <w:start w:val="2"/>
      <w:numFmt w:val="chineseCounting"/>
      <w:suff w:val="space"/>
      <w:lvlText w:val="第%1篇"/>
      <w:lvlJc w:val="left"/>
      <w:rPr>
        <w:rFonts w:hint="eastAsia"/>
      </w:rPr>
    </w:lvl>
  </w:abstractNum>
  <w:abstractNum w:abstractNumId="12">
    <w:nsid w:val="781D47AC"/>
    <w:multiLevelType w:val="multilevel"/>
    <w:tmpl w:val="781D47AC"/>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3"/>
  </w:num>
  <w:num w:numId="3">
    <w:abstractNumId w:val="8"/>
  </w:num>
  <w:num w:numId="4">
    <w:abstractNumId w:val="0"/>
  </w:num>
  <w:num w:numId="5">
    <w:abstractNumId w:val="1"/>
  </w:num>
  <w:num w:numId="6">
    <w:abstractNumId w:val="10"/>
  </w:num>
  <w:num w:numId="7">
    <w:abstractNumId w:val="5"/>
  </w:num>
  <w:num w:numId="8">
    <w:abstractNumId w:val="4"/>
  </w:num>
  <w:num w:numId="9">
    <w:abstractNumId w:val="9"/>
  </w:num>
  <w:num w:numId="10">
    <w:abstractNumId w:val="6"/>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DE"/>
    <w:rsid w:val="00005514"/>
    <w:rsid w:val="000075E8"/>
    <w:rsid w:val="00011B4B"/>
    <w:rsid w:val="00015708"/>
    <w:rsid w:val="00016B79"/>
    <w:rsid w:val="00017816"/>
    <w:rsid w:val="0003632F"/>
    <w:rsid w:val="00042095"/>
    <w:rsid w:val="0004789B"/>
    <w:rsid w:val="0005298B"/>
    <w:rsid w:val="0005417C"/>
    <w:rsid w:val="00055056"/>
    <w:rsid w:val="000576E1"/>
    <w:rsid w:val="00063981"/>
    <w:rsid w:val="0006456B"/>
    <w:rsid w:val="000811E5"/>
    <w:rsid w:val="000849F1"/>
    <w:rsid w:val="00090C5A"/>
    <w:rsid w:val="00091B1C"/>
    <w:rsid w:val="00096C1D"/>
    <w:rsid w:val="000A164E"/>
    <w:rsid w:val="000A7A1B"/>
    <w:rsid w:val="000B42F4"/>
    <w:rsid w:val="000B7377"/>
    <w:rsid w:val="000B7F54"/>
    <w:rsid w:val="000C5093"/>
    <w:rsid w:val="000C6A03"/>
    <w:rsid w:val="000D0F07"/>
    <w:rsid w:val="000E01C9"/>
    <w:rsid w:val="000E3259"/>
    <w:rsid w:val="000F7DBF"/>
    <w:rsid w:val="0010014A"/>
    <w:rsid w:val="00100639"/>
    <w:rsid w:val="0010204D"/>
    <w:rsid w:val="0010750E"/>
    <w:rsid w:val="00116856"/>
    <w:rsid w:val="00120259"/>
    <w:rsid w:val="001266BF"/>
    <w:rsid w:val="00126AD5"/>
    <w:rsid w:val="00133D16"/>
    <w:rsid w:val="00134D29"/>
    <w:rsid w:val="00144004"/>
    <w:rsid w:val="00147FB4"/>
    <w:rsid w:val="0015011C"/>
    <w:rsid w:val="00150429"/>
    <w:rsid w:val="001572BD"/>
    <w:rsid w:val="00162A56"/>
    <w:rsid w:val="00172A27"/>
    <w:rsid w:val="00177975"/>
    <w:rsid w:val="00180ACB"/>
    <w:rsid w:val="00186623"/>
    <w:rsid w:val="001879FD"/>
    <w:rsid w:val="001A07AE"/>
    <w:rsid w:val="001A6DCC"/>
    <w:rsid w:val="001B3DBD"/>
    <w:rsid w:val="001B4377"/>
    <w:rsid w:val="001D2321"/>
    <w:rsid w:val="001D2DCD"/>
    <w:rsid w:val="001D3F2B"/>
    <w:rsid w:val="001D5055"/>
    <w:rsid w:val="001D630C"/>
    <w:rsid w:val="001D7AFF"/>
    <w:rsid w:val="001E201B"/>
    <w:rsid w:val="001E433E"/>
    <w:rsid w:val="001E5CAC"/>
    <w:rsid w:val="001E603D"/>
    <w:rsid w:val="001E725F"/>
    <w:rsid w:val="001F1AF7"/>
    <w:rsid w:val="001F4964"/>
    <w:rsid w:val="001F7063"/>
    <w:rsid w:val="002009E1"/>
    <w:rsid w:val="00202B04"/>
    <w:rsid w:val="00204936"/>
    <w:rsid w:val="002100EE"/>
    <w:rsid w:val="0021704D"/>
    <w:rsid w:val="00222097"/>
    <w:rsid w:val="00224763"/>
    <w:rsid w:val="002348E0"/>
    <w:rsid w:val="002366B9"/>
    <w:rsid w:val="00250E69"/>
    <w:rsid w:val="002643C1"/>
    <w:rsid w:val="00265203"/>
    <w:rsid w:val="00271D47"/>
    <w:rsid w:val="002721EA"/>
    <w:rsid w:val="0027444B"/>
    <w:rsid w:val="00280E8A"/>
    <w:rsid w:val="00285164"/>
    <w:rsid w:val="002A4956"/>
    <w:rsid w:val="002A4F8B"/>
    <w:rsid w:val="002A6710"/>
    <w:rsid w:val="002B7904"/>
    <w:rsid w:val="002C2507"/>
    <w:rsid w:val="002C2E6E"/>
    <w:rsid w:val="002C45CE"/>
    <w:rsid w:val="002D7725"/>
    <w:rsid w:val="002E6F8D"/>
    <w:rsid w:val="002F3DE3"/>
    <w:rsid w:val="002F632E"/>
    <w:rsid w:val="00302253"/>
    <w:rsid w:val="00310AF9"/>
    <w:rsid w:val="00312C54"/>
    <w:rsid w:val="0031465E"/>
    <w:rsid w:val="00315742"/>
    <w:rsid w:val="003163B3"/>
    <w:rsid w:val="00322A7A"/>
    <w:rsid w:val="00341DEB"/>
    <w:rsid w:val="003434CB"/>
    <w:rsid w:val="00346A3D"/>
    <w:rsid w:val="00346E3D"/>
    <w:rsid w:val="00350C20"/>
    <w:rsid w:val="003548FA"/>
    <w:rsid w:val="00355A74"/>
    <w:rsid w:val="00361427"/>
    <w:rsid w:val="0036458B"/>
    <w:rsid w:val="00371D2F"/>
    <w:rsid w:val="0038033A"/>
    <w:rsid w:val="00381D13"/>
    <w:rsid w:val="00384161"/>
    <w:rsid w:val="00387610"/>
    <w:rsid w:val="00395C2F"/>
    <w:rsid w:val="003973D3"/>
    <w:rsid w:val="003A0892"/>
    <w:rsid w:val="003A36AE"/>
    <w:rsid w:val="003A449E"/>
    <w:rsid w:val="003A71F3"/>
    <w:rsid w:val="003B19F5"/>
    <w:rsid w:val="003B37AB"/>
    <w:rsid w:val="003C4B53"/>
    <w:rsid w:val="003D0E0A"/>
    <w:rsid w:val="003D3B22"/>
    <w:rsid w:val="003F0D2E"/>
    <w:rsid w:val="00401D9C"/>
    <w:rsid w:val="00402B32"/>
    <w:rsid w:val="00403A88"/>
    <w:rsid w:val="00410C93"/>
    <w:rsid w:val="00411B4A"/>
    <w:rsid w:val="00417E99"/>
    <w:rsid w:val="00420063"/>
    <w:rsid w:val="00427935"/>
    <w:rsid w:val="0043769D"/>
    <w:rsid w:val="00441259"/>
    <w:rsid w:val="0044695E"/>
    <w:rsid w:val="00460DBE"/>
    <w:rsid w:val="00462878"/>
    <w:rsid w:val="00465B7A"/>
    <w:rsid w:val="00472285"/>
    <w:rsid w:val="00472AA2"/>
    <w:rsid w:val="00492BEA"/>
    <w:rsid w:val="004953EC"/>
    <w:rsid w:val="00495813"/>
    <w:rsid w:val="00496E47"/>
    <w:rsid w:val="004A0D29"/>
    <w:rsid w:val="004A0DE1"/>
    <w:rsid w:val="004A2410"/>
    <w:rsid w:val="004A27AC"/>
    <w:rsid w:val="004B176E"/>
    <w:rsid w:val="004B337A"/>
    <w:rsid w:val="004B537C"/>
    <w:rsid w:val="004C1DD0"/>
    <w:rsid w:val="004C64E4"/>
    <w:rsid w:val="004E156F"/>
    <w:rsid w:val="004E4181"/>
    <w:rsid w:val="004E55DB"/>
    <w:rsid w:val="004F104C"/>
    <w:rsid w:val="004F161C"/>
    <w:rsid w:val="004F4F7F"/>
    <w:rsid w:val="004F7A32"/>
    <w:rsid w:val="00502B2F"/>
    <w:rsid w:val="00512D00"/>
    <w:rsid w:val="00514179"/>
    <w:rsid w:val="00517A9E"/>
    <w:rsid w:val="00520785"/>
    <w:rsid w:val="00522D30"/>
    <w:rsid w:val="00544BEA"/>
    <w:rsid w:val="005460D5"/>
    <w:rsid w:val="00546962"/>
    <w:rsid w:val="00566A85"/>
    <w:rsid w:val="00573AE3"/>
    <w:rsid w:val="00580BBC"/>
    <w:rsid w:val="00581DF4"/>
    <w:rsid w:val="00586747"/>
    <w:rsid w:val="005902D9"/>
    <w:rsid w:val="0059127C"/>
    <w:rsid w:val="00596AB7"/>
    <w:rsid w:val="005A1EA7"/>
    <w:rsid w:val="005A5FAF"/>
    <w:rsid w:val="005B0724"/>
    <w:rsid w:val="005B1E46"/>
    <w:rsid w:val="005C1B86"/>
    <w:rsid w:val="005C42AC"/>
    <w:rsid w:val="005C4F84"/>
    <w:rsid w:val="005C609D"/>
    <w:rsid w:val="005D37D0"/>
    <w:rsid w:val="005D703E"/>
    <w:rsid w:val="005E0C8C"/>
    <w:rsid w:val="005E5525"/>
    <w:rsid w:val="00603CB2"/>
    <w:rsid w:val="00613410"/>
    <w:rsid w:val="00617986"/>
    <w:rsid w:val="0064583B"/>
    <w:rsid w:val="00654A48"/>
    <w:rsid w:val="0065651B"/>
    <w:rsid w:val="00664607"/>
    <w:rsid w:val="00670089"/>
    <w:rsid w:val="00680AE4"/>
    <w:rsid w:val="00684E51"/>
    <w:rsid w:val="006A100B"/>
    <w:rsid w:val="006A143A"/>
    <w:rsid w:val="006A3285"/>
    <w:rsid w:val="006A3CF1"/>
    <w:rsid w:val="006A6AAB"/>
    <w:rsid w:val="006B72DE"/>
    <w:rsid w:val="006B7618"/>
    <w:rsid w:val="006C5FC1"/>
    <w:rsid w:val="006D44E1"/>
    <w:rsid w:val="006E21FA"/>
    <w:rsid w:val="006F02EB"/>
    <w:rsid w:val="006F0FB7"/>
    <w:rsid w:val="006F7DCF"/>
    <w:rsid w:val="00704E5D"/>
    <w:rsid w:val="00705739"/>
    <w:rsid w:val="00715FB5"/>
    <w:rsid w:val="007171A6"/>
    <w:rsid w:val="0071799D"/>
    <w:rsid w:val="00725DCC"/>
    <w:rsid w:val="00726088"/>
    <w:rsid w:val="00730B6A"/>
    <w:rsid w:val="00736D88"/>
    <w:rsid w:val="00736DD2"/>
    <w:rsid w:val="00737A25"/>
    <w:rsid w:val="0074681C"/>
    <w:rsid w:val="00746EC2"/>
    <w:rsid w:val="007654E2"/>
    <w:rsid w:val="0076555E"/>
    <w:rsid w:val="00767DCF"/>
    <w:rsid w:val="00771E46"/>
    <w:rsid w:val="00772F39"/>
    <w:rsid w:val="007760AA"/>
    <w:rsid w:val="00780327"/>
    <w:rsid w:val="007959AC"/>
    <w:rsid w:val="007A20E0"/>
    <w:rsid w:val="007B2204"/>
    <w:rsid w:val="007B26B0"/>
    <w:rsid w:val="007B4B60"/>
    <w:rsid w:val="007C4793"/>
    <w:rsid w:val="007C49F2"/>
    <w:rsid w:val="007D7E65"/>
    <w:rsid w:val="007E19E0"/>
    <w:rsid w:val="007E53C2"/>
    <w:rsid w:val="008006DC"/>
    <w:rsid w:val="00802864"/>
    <w:rsid w:val="008041D4"/>
    <w:rsid w:val="00805933"/>
    <w:rsid w:val="0081156A"/>
    <w:rsid w:val="00811D97"/>
    <w:rsid w:val="00827398"/>
    <w:rsid w:val="00841C7C"/>
    <w:rsid w:val="00842974"/>
    <w:rsid w:val="00851EF4"/>
    <w:rsid w:val="0085550A"/>
    <w:rsid w:val="00856A05"/>
    <w:rsid w:val="008616EF"/>
    <w:rsid w:val="00863C25"/>
    <w:rsid w:val="008641B7"/>
    <w:rsid w:val="00864AF7"/>
    <w:rsid w:val="00864DC1"/>
    <w:rsid w:val="008705BC"/>
    <w:rsid w:val="00875A42"/>
    <w:rsid w:val="00876F8B"/>
    <w:rsid w:val="008857CC"/>
    <w:rsid w:val="008904A8"/>
    <w:rsid w:val="008C510F"/>
    <w:rsid w:val="008E66B8"/>
    <w:rsid w:val="008E7B5D"/>
    <w:rsid w:val="008F1988"/>
    <w:rsid w:val="008F6252"/>
    <w:rsid w:val="009023F3"/>
    <w:rsid w:val="00903540"/>
    <w:rsid w:val="0090383C"/>
    <w:rsid w:val="009077A4"/>
    <w:rsid w:val="0090788F"/>
    <w:rsid w:val="00910A42"/>
    <w:rsid w:val="00912132"/>
    <w:rsid w:val="00915390"/>
    <w:rsid w:val="009211CD"/>
    <w:rsid w:val="00922FAD"/>
    <w:rsid w:val="00924F0A"/>
    <w:rsid w:val="0092708B"/>
    <w:rsid w:val="0093049D"/>
    <w:rsid w:val="00937713"/>
    <w:rsid w:val="00944CC5"/>
    <w:rsid w:val="0094759E"/>
    <w:rsid w:val="00966820"/>
    <w:rsid w:val="00966FC8"/>
    <w:rsid w:val="009702E8"/>
    <w:rsid w:val="00971E57"/>
    <w:rsid w:val="009723CF"/>
    <w:rsid w:val="00975F02"/>
    <w:rsid w:val="00980037"/>
    <w:rsid w:val="00983B43"/>
    <w:rsid w:val="00991B37"/>
    <w:rsid w:val="009B6096"/>
    <w:rsid w:val="009C3034"/>
    <w:rsid w:val="009D3162"/>
    <w:rsid w:val="009D3181"/>
    <w:rsid w:val="009E0B4F"/>
    <w:rsid w:val="009E348B"/>
    <w:rsid w:val="009E3A4F"/>
    <w:rsid w:val="009E5DC0"/>
    <w:rsid w:val="009E61EC"/>
    <w:rsid w:val="009E737D"/>
    <w:rsid w:val="009F5F18"/>
    <w:rsid w:val="00A03977"/>
    <w:rsid w:val="00A26FF7"/>
    <w:rsid w:val="00A445DC"/>
    <w:rsid w:val="00A44BEA"/>
    <w:rsid w:val="00A47655"/>
    <w:rsid w:val="00A52D1B"/>
    <w:rsid w:val="00A569E8"/>
    <w:rsid w:val="00A711C6"/>
    <w:rsid w:val="00A75A98"/>
    <w:rsid w:val="00A81327"/>
    <w:rsid w:val="00A84863"/>
    <w:rsid w:val="00A95D95"/>
    <w:rsid w:val="00A977EC"/>
    <w:rsid w:val="00AA3FD1"/>
    <w:rsid w:val="00AA4589"/>
    <w:rsid w:val="00AB11B3"/>
    <w:rsid w:val="00AB5ED3"/>
    <w:rsid w:val="00AB6B0C"/>
    <w:rsid w:val="00AB70CD"/>
    <w:rsid w:val="00AC4898"/>
    <w:rsid w:val="00AC48B3"/>
    <w:rsid w:val="00AC7AC9"/>
    <w:rsid w:val="00AE1920"/>
    <w:rsid w:val="00AF01B3"/>
    <w:rsid w:val="00AF0F13"/>
    <w:rsid w:val="00AF7992"/>
    <w:rsid w:val="00B00AB3"/>
    <w:rsid w:val="00B10333"/>
    <w:rsid w:val="00B14C52"/>
    <w:rsid w:val="00B17214"/>
    <w:rsid w:val="00B200AA"/>
    <w:rsid w:val="00B30645"/>
    <w:rsid w:val="00B325BB"/>
    <w:rsid w:val="00B33C25"/>
    <w:rsid w:val="00B478C3"/>
    <w:rsid w:val="00B52715"/>
    <w:rsid w:val="00B61348"/>
    <w:rsid w:val="00B6263F"/>
    <w:rsid w:val="00B67114"/>
    <w:rsid w:val="00B70750"/>
    <w:rsid w:val="00B75449"/>
    <w:rsid w:val="00B961C6"/>
    <w:rsid w:val="00BA527C"/>
    <w:rsid w:val="00BB5E17"/>
    <w:rsid w:val="00BB7494"/>
    <w:rsid w:val="00BC2049"/>
    <w:rsid w:val="00BC2390"/>
    <w:rsid w:val="00BC5026"/>
    <w:rsid w:val="00BC7017"/>
    <w:rsid w:val="00BC7242"/>
    <w:rsid w:val="00BE07A9"/>
    <w:rsid w:val="00BE13F2"/>
    <w:rsid w:val="00BF46A7"/>
    <w:rsid w:val="00BF5230"/>
    <w:rsid w:val="00C1090C"/>
    <w:rsid w:val="00C23C10"/>
    <w:rsid w:val="00C240C8"/>
    <w:rsid w:val="00C26513"/>
    <w:rsid w:val="00C27517"/>
    <w:rsid w:val="00C328C9"/>
    <w:rsid w:val="00C37F72"/>
    <w:rsid w:val="00C420C1"/>
    <w:rsid w:val="00C45963"/>
    <w:rsid w:val="00C472B8"/>
    <w:rsid w:val="00C53124"/>
    <w:rsid w:val="00C53B2E"/>
    <w:rsid w:val="00C5468B"/>
    <w:rsid w:val="00C6160A"/>
    <w:rsid w:val="00C65711"/>
    <w:rsid w:val="00C74148"/>
    <w:rsid w:val="00C76ECD"/>
    <w:rsid w:val="00C84E04"/>
    <w:rsid w:val="00C87B95"/>
    <w:rsid w:val="00C910BE"/>
    <w:rsid w:val="00C922BE"/>
    <w:rsid w:val="00CA5844"/>
    <w:rsid w:val="00CA7415"/>
    <w:rsid w:val="00CB265C"/>
    <w:rsid w:val="00CB4540"/>
    <w:rsid w:val="00CB7A07"/>
    <w:rsid w:val="00CC59BB"/>
    <w:rsid w:val="00CD635D"/>
    <w:rsid w:val="00CD7CED"/>
    <w:rsid w:val="00CE04C7"/>
    <w:rsid w:val="00CF156B"/>
    <w:rsid w:val="00CF15EF"/>
    <w:rsid w:val="00CF1E02"/>
    <w:rsid w:val="00CF597A"/>
    <w:rsid w:val="00CF6D82"/>
    <w:rsid w:val="00CF735D"/>
    <w:rsid w:val="00D05BAA"/>
    <w:rsid w:val="00D13B7A"/>
    <w:rsid w:val="00D22C4B"/>
    <w:rsid w:val="00D230C7"/>
    <w:rsid w:val="00D23E7D"/>
    <w:rsid w:val="00D2405F"/>
    <w:rsid w:val="00D273FA"/>
    <w:rsid w:val="00D309EC"/>
    <w:rsid w:val="00D30C7F"/>
    <w:rsid w:val="00D3284B"/>
    <w:rsid w:val="00D41BA9"/>
    <w:rsid w:val="00D52376"/>
    <w:rsid w:val="00D55572"/>
    <w:rsid w:val="00D612C2"/>
    <w:rsid w:val="00D73489"/>
    <w:rsid w:val="00D745E0"/>
    <w:rsid w:val="00D76AA3"/>
    <w:rsid w:val="00D80604"/>
    <w:rsid w:val="00D97235"/>
    <w:rsid w:val="00DA086B"/>
    <w:rsid w:val="00DA1D7A"/>
    <w:rsid w:val="00DA3A16"/>
    <w:rsid w:val="00DA6834"/>
    <w:rsid w:val="00DA7E05"/>
    <w:rsid w:val="00DB4794"/>
    <w:rsid w:val="00DB5C3E"/>
    <w:rsid w:val="00DB628E"/>
    <w:rsid w:val="00DE1E39"/>
    <w:rsid w:val="00DE647B"/>
    <w:rsid w:val="00DF47D6"/>
    <w:rsid w:val="00DF5425"/>
    <w:rsid w:val="00DF782C"/>
    <w:rsid w:val="00E030A0"/>
    <w:rsid w:val="00E0425A"/>
    <w:rsid w:val="00E05C1B"/>
    <w:rsid w:val="00E075A1"/>
    <w:rsid w:val="00E124E3"/>
    <w:rsid w:val="00E14812"/>
    <w:rsid w:val="00E1586F"/>
    <w:rsid w:val="00E15DDE"/>
    <w:rsid w:val="00E20AFA"/>
    <w:rsid w:val="00E2339E"/>
    <w:rsid w:val="00E3245B"/>
    <w:rsid w:val="00E32DCD"/>
    <w:rsid w:val="00E3707B"/>
    <w:rsid w:val="00E42CA7"/>
    <w:rsid w:val="00E50685"/>
    <w:rsid w:val="00E57F6B"/>
    <w:rsid w:val="00E677A2"/>
    <w:rsid w:val="00E7342C"/>
    <w:rsid w:val="00E75431"/>
    <w:rsid w:val="00E76363"/>
    <w:rsid w:val="00E847BE"/>
    <w:rsid w:val="00E91D81"/>
    <w:rsid w:val="00E92BC2"/>
    <w:rsid w:val="00EA010E"/>
    <w:rsid w:val="00EB1E33"/>
    <w:rsid w:val="00EB732B"/>
    <w:rsid w:val="00EC0881"/>
    <w:rsid w:val="00F0189D"/>
    <w:rsid w:val="00F16313"/>
    <w:rsid w:val="00F20FF1"/>
    <w:rsid w:val="00F220A5"/>
    <w:rsid w:val="00F33944"/>
    <w:rsid w:val="00F35457"/>
    <w:rsid w:val="00F3595B"/>
    <w:rsid w:val="00F36D58"/>
    <w:rsid w:val="00F40666"/>
    <w:rsid w:val="00F426A6"/>
    <w:rsid w:val="00F429FD"/>
    <w:rsid w:val="00F4623C"/>
    <w:rsid w:val="00F46E44"/>
    <w:rsid w:val="00F52853"/>
    <w:rsid w:val="00F56399"/>
    <w:rsid w:val="00F7004D"/>
    <w:rsid w:val="00F70F36"/>
    <w:rsid w:val="00F7750A"/>
    <w:rsid w:val="00F80006"/>
    <w:rsid w:val="00F80084"/>
    <w:rsid w:val="00F95676"/>
    <w:rsid w:val="00FA5C8C"/>
    <w:rsid w:val="00FB006B"/>
    <w:rsid w:val="00FB1B2D"/>
    <w:rsid w:val="00FC1DBF"/>
    <w:rsid w:val="00FD159B"/>
    <w:rsid w:val="00FD2470"/>
    <w:rsid w:val="00FD5823"/>
    <w:rsid w:val="00FE1C27"/>
    <w:rsid w:val="00FE5C31"/>
    <w:rsid w:val="00FF01B8"/>
    <w:rsid w:val="00FF1B0E"/>
    <w:rsid w:val="00FF748B"/>
    <w:rsid w:val="01C30CD2"/>
    <w:rsid w:val="0240032D"/>
    <w:rsid w:val="057D7651"/>
    <w:rsid w:val="05A54F3B"/>
    <w:rsid w:val="076F0856"/>
    <w:rsid w:val="07AA1FAC"/>
    <w:rsid w:val="083B70E8"/>
    <w:rsid w:val="08E311E7"/>
    <w:rsid w:val="08F425DE"/>
    <w:rsid w:val="09A35C27"/>
    <w:rsid w:val="0BCA5097"/>
    <w:rsid w:val="0D210F56"/>
    <w:rsid w:val="0EBD4751"/>
    <w:rsid w:val="0F457162"/>
    <w:rsid w:val="0FD27B02"/>
    <w:rsid w:val="101512BE"/>
    <w:rsid w:val="10E2357D"/>
    <w:rsid w:val="118C75B5"/>
    <w:rsid w:val="123F306E"/>
    <w:rsid w:val="124F25D8"/>
    <w:rsid w:val="129940B2"/>
    <w:rsid w:val="12E53B75"/>
    <w:rsid w:val="147A5E14"/>
    <w:rsid w:val="17125273"/>
    <w:rsid w:val="17AB1067"/>
    <w:rsid w:val="18ED7A84"/>
    <w:rsid w:val="1979417A"/>
    <w:rsid w:val="1A381CB4"/>
    <w:rsid w:val="1C813409"/>
    <w:rsid w:val="1CA42587"/>
    <w:rsid w:val="1D0B4F31"/>
    <w:rsid w:val="1E514450"/>
    <w:rsid w:val="1F0F0D82"/>
    <w:rsid w:val="1F17077B"/>
    <w:rsid w:val="1F4B0F41"/>
    <w:rsid w:val="20520D13"/>
    <w:rsid w:val="208015CF"/>
    <w:rsid w:val="209E7BBB"/>
    <w:rsid w:val="20D44E53"/>
    <w:rsid w:val="21A419EA"/>
    <w:rsid w:val="2257312A"/>
    <w:rsid w:val="229357D3"/>
    <w:rsid w:val="22A768F2"/>
    <w:rsid w:val="24B64035"/>
    <w:rsid w:val="252C09E5"/>
    <w:rsid w:val="25D942DB"/>
    <w:rsid w:val="2802648F"/>
    <w:rsid w:val="2813076E"/>
    <w:rsid w:val="2815080B"/>
    <w:rsid w:val="2A8D065D"/>
    <w:rsid w:val="2C8F26FE"/>
    <w:rsid w:val="2D7110F1"/>
    <w:rsid w:val="2EBD3BE5"/>
    <w:rsid w:val="2EC67DFA"/>
    <w:rsid w:val="2F8143B1"/>
    <w:rsid w:val="30FD3BC9"/>
    <w:rsid w:val="339A70D9"/>
    <w:rsid w:val="3418285A"/>
    <w:rsid w:val="34975536"/>
    <w:rsid w:val="352526FE"/>
    <w:rsid w:val="357C203C"/>
    <w:rsid w:val="36C07BA5"/>
    <w:rsid w:val="396F6B1C"/>
    <w:rsid w:val="39A70D84"/>
    <w:rsid w:val="3A584A0C"/>
    <w:rsid w:val="3AC63713"/>
    <w:rsid w:val="3BA466A7"/>
    <w:rsid w:val="3C621A20"/>
    <w:rsid w:val="3CC07C03"/>
    <w:rsid w:val="3E9832A8"/>
    <w:rsid w:val="416215CA"/>
    <w:rsid w:val="41BE4EA4"/>
    <w:rsid w:val="41F048AC"/>
    <w:rsid w:val="42B010DE"/>
    <w:rsid w:val="43A40024"/>
    <w:rsid w:val="43D45C21"/>
    <w:rsid w:val="442D32FE"/>
    <w:rsid w:val="45CE038B"/>
    <w:rsid w:val="460D568F"/>
    <w:rsid w:val="466C1173"/>
    <w:rsid w:val="473F2E2F"/>
    <w:rsid w:val="48F22675"/>
    <w:rsid w:val="4922001D"/>
    <w:rsid w:val="4ACA5807"/>
    <w:rsid w:val="4D0E76FE"/>
    <w:rsid w:val="4F0B6CE5"/>
    <w:rsid w:val="4F5B0B7B"/>
    <w:rsid w:val="50490F1E"/>
    <w:rsid w:val="50581E4D"/>
    <w:rsid w:val="50E2378E"/>
    <w:rsid w:val="519C6103"/>
    <w:rsid w:val="522144D9"/>
    <w:rsid w:val="52584092"/>
    <w:rsid w:val="52D92ACB"/>
    <w:rsid w:val="539F3619"/>
    <w:rsid w:val="53DB1558"/>
    <w:rsid w:val="54A603D1"/>
    <w:rsid w:val="54D91932"/>
    <w:rsid w:val="54DF100D"/>
    <w:rsid w:val="55534241"/>
    <w:rsid w:val="55CE3700"/>
    <w:rsid w:val="5718070F"/>
    <w:rsid w:val="57294C1E"/>
    <w:rsid w:val="57B76003"/>
    <w:rsid w:val="57C23A28"/>
    <w:rsid w:val="57C65706"/>
    <w:rsid w:val="581D2E01"/>
    <w:rsid w:val="58765214"/>
    <w:rsid w:val="58FB056D"/>
    <w:rsid w:val="59AC12EF"/>
    <w:rsid w:val="59C45272"/>
    <w:rsid w:val="5AD5734A"/>
    <w:rsid w:val="5B1908CA"/>
    <w:rsid w:val="5B51075A"/>
    <w:rsid w:val="5B684667"/>
    <w:rsid w:val="5C6035D0"/>
    <w:rsid w:val="5C620448"/>
    <w:rsid w:val="5D1A76FC"/>
    <w:rsid w:val="5D965A8B"/>
    <w:rsid w:val="5EE664CC"/>
    <w:rsid w:val="60A10793"/>
    <w:rsid w:val="60A75CEF"/>
    <w:rsid w:val="61223334"/>
    <w:rsid w:val="61610A74"/>
    <w:rsid w:val="61CF62D6"/>
    <w:rsid w:val="639554A3"/>
    <w:rsid w:val="64623A39"/>
    <w:rsid w:val="6533673C"/>
    <w:rsid w:val="657358A6"/>
    <w:rsid w:val="66B715BF"/>
    <w:rsid w:val="66DF27B4"/>
    <w:rsid w:val="681A5932"/>
    <w:rsid w:val="69E345A6"/>
    <w:rsid w:val="6A2E2EC6"/>
    <w:rsid w:val="6C64533F"/>
    <w:rsid w:val="6EA17DF8"/>
    <w:rsid w:val="6FE969BF"/>
    <w:rsid w:val="713B1A06"/>
    <w:rsid w:val="713F4420"/>
    <w:rsid w:val="715801D2"/>
    <w:rsid w:val="728840C0"/>
    <w:rsid w:val="734E3D24"/>
    <w:rsid w:val="73902F71"/>
    <w:rsid w:val="73A47581"/>
    <w:rsid w:val="74BB5D7D"/>
    <w:rsid w:val="75C22A3C"/>
    <w:rsid w:val="76011FC3"/>
    <w:rsid w:val="76ED5103"/>
    <w:rsid w:val="78926F3E"/>
    <w:rsid w:val="795557BA"/>
    <w:rsid w:val="797D3080"/>
    <w:rsid w:val="7B983707"/>
    <w:rsid w:val="7D7B5987"/>
    <w:rsid w:val="7E055996"/>
    <w:rsid w:val="7E927C8C"/>
    <w:rsid w:val="7EAA24D8"/>
    <w:rsid w:val="7EFE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87"/>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85"/>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uiPriority w:val="0"/>
    <w:pPr>
      <w:spacing w:before="120"/>
    </w:pPr>
    <w:rPr>
      <w:rFonts w:ascii="Arial" w:hAnsi="Arial"/>
      <w:sz w:val="24"/>
    </w:rPr>
  </w:style>
  <w:style w:type="paragraph" w:styleId="20">
    <w:name w:val="annotation text"/>
    <w:basedOn w:val="1"/>
    <w:link w:val="67"/>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numPr>
        <w:ilvl w:val="0"/>
        <w:numId w:val="2"/>
      </w:numPr>
      <w:adjustRightInd w:val="0"/>
      <w:snapToGrid w:val="0"/>
      <w:spacing w:line="360" w:lineRule="auto"/>
    </w:pPr>
    <w:rPr>
      <w:sz w:val="24"/>
    </w:rPr>
  </w:style>
  <w:style w:type="paragraph" w:styleId="23">
    <w:name w:val="Body Text Indent"/>
    <w:basedOn w:val="1"/>
    <w:link w:val="7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84"/>
    <w:qFormat/>
    <w:uiPriority w:val="0"/>
  </w:style>
  <w:style w:type="paragraph" w:styleId="33">
    <w:name w:val="Body Text Indent 2"/>
    <w:basedOn w:val="1"/>
    <w:link w:val="99"/>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0"/>
    <w:qFormat/>
    <w:uiPriority w:val="0"/>
    <w:pPr>
      <w:spacing w:line="360" w:lineRule="auto"/>
    </w:pPr>
    <w:rPr>
      <w:sz w:val="18"/>
    </w:rPr>
  </w:style>
  <w:style w:type="paragraph" w:styleId="41">
    <w:name w:val="toc 6"/>
    <w:basedOn w:val="1"/>
    <w:next w:val="1"/>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20"/>
    <w:next w:val="20"/>
    <w:link w:val="66"/>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1"/>
    <w:qFormat/>
    <w:uiPriority w:val="0"/>
    <w:pPr>
      <w:spacing w:after="120" w:line="240" w:lineRule="auto"/>
      <w:ind w:left="420" w:leftChars="200" w:firstLine="420" w:firstLineChars="200"/>
    </w:pPr>
  </w:style>
  <w:style w:type="character" w:styleId="59">
    <w:name w:val="Strong"/>
    <w:qFormat/>
    <w:uiPriority w:val="22"/>
    <w:rPr>
      <w:b/>
    </w:rPr>
  </w:style>
  <w:style w:type="character" w:styleId="60">
    <w:name w:val="page number"/>
    <w:basedOn w:val="58"/>
    <w:uiPriority w:val="0"/>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character" w:customStyle="1" w:styleId="66">
    <w:name w:val="批注主题 Char"/>
    <w:basedOn w:val="67"/>
    <w:link w:val="54"/>
    <w:qFormat/>
    <w:uiPriority w:val="0"/>
    <w:rPr>
      <w:sz w:val="24"/>
    </w:rPr>
  </w:style>
  <w:style w:type="character" w:customStyle="1" w:styleId="67">
    <w:name w:val="批注文字 Char"/>
    <w:link w:val="20"/>
    <w:qFormat/>
    <w:uiPriority w:val="0"/>
    <w:rPr>
      <w:sz w:val="24"/>
    </w:rPr>
  </w:style>
  <w:style w:type="character" w:customStyle="1" w:styleId="68">
    <w:name w:val="Table Text Char"/>
    <w:link w:val="69"/>
    <w:qFormat/>
    <w:uiPriority w:val="0"/>
    <w:rPr>
      <w:rFonts w:ascii="Arial" w:hAnsi="Arial"/>
      <w:kern w:val="2"/>
      <w:sz w:val="18"/>
      <w:lang w:val="en-US" w:eastAsia="zh-CN" w:bidi="ar-SA"/>
    </w:rPr>
  </w:style>
  <w:style w:type="paragraph" w:customStyle="1" w:styleId="69">
    <w:name w:val="Table Text"/>
    <w:link w:val="68"/>
    <w:qFormat/>
    <w:uiPriority w:val="0"/>
    <w:pPr>
      <w:snapToGrid w:val="0"/>
      <w:spacing w:before="80" w:after="80"/>
    </w:pPr>
    <w:rPr>
      <w:rFonts w:ascii="Arial" w:hAnsi="Arial" w:eastAsia="宋体" w:cs="Times New Roman"/>
      <w:kern w:val="2"/>
      <w:sz w:val="18"/>
      <w:lang w:val="en-US" w:eastAsia="zh-CN" w:bidi="ar-SA"/>
    </w:rPr>
  </w:style>
  <w:style w:type="character" w:customStyle="1" w:styleId="70">
    <w:name w:val="脚注文本 Char"/>
    <w:link w:val="40"/>
    <w:qFormat/>
    <w:uiPriority w:val="0"/>
    <w:rPr>
      <w:kern w:val="2"/>
      <w:sz w:val="18"/>
    </w:rPr>
  </w:style>
  <w:style w:type="character" w:customStyle="1" w:styleId="71">
    <w:name w:val="正文首行缩进 2 Char"/>
    <w:basedOn w:val="72"/>
    <w:link w:val="56"/>
    <w:qFormat/>
    <w:uiPriority w:val="0"/>
    <w:rPr>
      <w:kern w:val="2"/>
      <w:sz w:val="44"/>
    </w:rPr>
  </w:style>
  <w:style w:type="character" w:customStyle="1" w:styleId="72">
    <w:name w:val="正文文本缩进 Char"/>
    <w:link w:val="23"/>
    <w:qFormat/>
    <w:uiPriority w:val="0"/>
    <w:rPr>
      <w:kern w:val="2"/>
      <w:sz w:val="44"/>
    </w:rPr>
  </w:style>
  <w:style w:type="character" w:customStyle="1" w:styleId="73">
    <w:name w:val="Char Char6"/>
    <w:qFormat/>
    <w:uiPriority w:val="0"/>
    <w:rPr>
      <w:rFonts w:ascii="仿宋_GB2312" w:eastAsia="仿宋_GB2312"/>
      <w:kern w:val="2"/>
      <w:sz w:val="32"/>
    </w:rPr>
  </w:style>
  <w:style w:type="character" w:customStyle="1" w:styleId="74">
    <w:name w:val="v151"/>
    <w:qFormat/>
    <w:uiPriority w:val="0"/>
    <w:rPr>
      <w:sz w:val="18"/>
    </w:rPr>
  </w:style>
  <w:style w:type="character" w:customStyle="1" w:styleId="75">
    <w:name w:val="Char Char3"/>
    <w:qFormat/>
    <w:uiPriority w:val="0"/>
    <w:rPr>
      <w:rFonts w:eastAsia="宋体"/>
      <w:kern w:val="2"/>
      <w:sz w:val="18"/>
      <w:lang w:val="en-US" w:eastAsia="zh-CN"/>
    </w:rPr>
  </w:style>
  <w:style w:type="character" w:customStyle="1" w:styleId="76">
    <w:name w:val="文字 Char"/>
    <w:link w:val="77"/>
    <w:qFormat/>
    <w:uiPriority w:val="0"/>
    <w:rPr>
      <w:rFonts w:ascii="宋体"/>
      <w:kern w:val="2"/>
      <w:sz w:val="28"/>
    </w:rPr>
  </w:style>
  <w:style w:type="paragraph" w:customStyle="1" w:styleId="77">
    <w:name w:val="文字"/>
    <w:basedOn w:val="1"/>
    <w:link w:val="76"/>
    <w:qFormat/>
    <w:uiPriority w:val="0"/>
    <w:pPr>
      <w:tabs>
        <w:tab w:val="left" w:pos="8520"/>
      </w:tabs>
      <w:spacing w:line="312" w:lineRule="auto"/>
      <w:ind w:right="-210" w:firstLine="556"/>
    </w:pPr>
    <w:rPr>
      <w:rFonts w:ascii="宋体"/>
    </w:rPr>
  </w:style>
  <w:style w:type="character" w:customStyle="1" w:styleId="78">
    <w:name w:val="Char Char"/>
    <w:qFormat/>
    <w:uiPriority w:val="0"/>
    <w:rPr>
      <w:rFonts w:ascii="宋体" w:hAnsi="宋体" w:eastAsia="宋体"/>
      <w:kern w:val="2"/>
      <w:sz w:val="24"/>
      <w:lang w:val="en-US" w:eastAsia="zh-CN" w:bidi="ar-SA"/>
    </w:rPr>
  </w:style>
  <w:style w:type="character" w:customStyle="1" w:styleId="79">
    <w:name w:val="Table Heading Char Char"/>
    <w:qFormat/>
    <w:uiPriority w:val="0"/>
    <w:rPr>
      <w:rFonts w:ascii="Arial" w:hAnsi="Arial" w:eastAsia="黑体"/>
      <w:kern w:val="2"/>
      <w:sz w:val="18"/>
      <w:lang w:val="en-US" w:eastAsia="zh-CN"/>
    </w:rPr>
  </w:style>
  <w:style w:type="character" w:customStyle="1" w:styleId="80">
    <w:name w:val="Char Char4"/>
    <w:qFormat/>
    <w:uiPriority w:val="0"/>
    <w:rPr>
      <w:rFonts w:eastAsia="宋体"/>
      <w:b/>
      <w:kern w:val="2"/>
      <w:sz w:val="21"/>
      <w:lang w:val="en-US" w:eastAsia="zh-CN"/>
    </w:rPr>
  </w:style>
  <w:style w:type="character" w:customStyle="1" w:styleId="81">
    <w:name w:val="top-det1"/>
    <w:qFormat/>
    <w:uiPriority w:val="0"/>
    <w:rPr>
      <w:b/>
      <w:color w:val="000000"/>
    </w:rPr>
  </w:style>
  <w:style w:type="character" w:customStyle="1" w:styleId="82">
    <w:name w:val="font121"/>
    <w:qFormat/>
    <w:uiPriority w:val="0"/>
    <w:rPr>
      <w:rFonts w:hint="eastAsia" w:ascii="宋体" w:hAnsi="宋体" w:eastAsia="宋体" w:cs="宋体"/>
      <w:color w:val="FF0000"/>
      <w:sz w:val="20"/>
      <w:szCs w:val="20"/>
      <w:u w:val="none"/>
    </w:rPr>
  </w:style>
  <w:style w:type="character" w:customStyle="1" w:styleId="83">
    <w:name w:val="title_emph1"/>
    <w:qFormat/>
    <w:uiPriority w:val="0"/>
    <w:rPr>
      <w:rFonts w:hint="default" w:ascii="Arial" w:hAnsi="Arial"/>
      <w:b/>
      <w:sz w:val="20"/>
    </w:rPr>
  </w:style>
  <w:style w:type="character" w:customStyle="1" w:styleId="84">
    <w:name w:val="日期 Char"/>
    <w:link w:val="32"/>
    <w:qFormat/>
    <w:uiPriority w:val="0"/>
    <w:rPr>
      <w:kern w:val="2"/>
      <w:sz w:val="28"/>
    </w:rPr>
  </w:style>
  <w:style w:type="character" w:customStyle="1" w:styleId="85">
    <w:name w:val="标题 3 Char"/>
    <w:link w:val="5"/>
    <w:qFormat/>
    <w:uiPriority w:val="0"/>
    <w:rPr>
      <w:rFonts w:eastAsia="宋体"/>
      <w:b/>
      <w:kern w:val="2"/>
      <w:sz w:val="32"/>
      <w:lang w:val="en-US" w:eastAsia="zh-CN"/>
    </w:rPr>
  </w:style>
  <w:style w:type="character" w:customStyle="1" w:styleId="86">
    <w:name w:val="样式 宋体"/>
    <w:qFormat/>
    <w:uiPriority w:val="0"/>
    <w:rPr>
      <w:rFonts w:ascii="宋体" w:hAnsi="宋体" w:eastAsia="宋体"/>
      <w:sz w:val="28"/>
    </w:rPr>
  </w:style>
  <w:style w:type="character" w:customStyle="1" w:styleId="87">
    <w:name w:val="标题 2 Char"/>
    <w:link w:val="4"/>
    <w:qFormat/>
    <w:uiPriority w:val="0"/>
    <w:rPr>
      <w:rFonts w:ascii="Arial" w:hAnsi="Arial" w:eastAsia="黑体"/>
      <w:b/>
      <w:kern w:val="2"/>
      <w:sz w:val="32"/>
    </w:rPr>
  </w:style>
  <w:style w:type="character" w:customStyle="1" w:styleId="88">
    <w:name w:val="小 Char"/>
    <w:qFormat/>
    <w:uiPriority w:val="0"/>
    <w:rPr>
      <w:rFonts w:ascii="宋体" w:hAnsi="Courier New" w:eastAsia="宋体"/>
      <w:kern w:val="2"/>
      <w:sz w:val="21"/>
      <w:lang w:val="en-US" w:eastAsia="zh-CN" w:bidi="ar-SA"/>
    </w:rPr>
  </w:style>
  <w:style w:type="character" w:customStyle="1" w:styleId="89">
    <w:name w:val="Table Text Char Char Char Char"/>
    <w:link w:val="90"/>
    <w:qFormat/>
    <w:uiPriority w:val="0"/>
    <w:rPr>
      <w:rFonts w:ascii="Arial" w:hAnsi="Arial"/>
      <w:kern w:val="2"/>
      <w:sz w:val="18"/>
      <w:lang w:val="en-US" w:eastAsia="zh-CN" w:bidi="ar-SA"/>
    </w:rPr>
  </w:style>
  <w:style w:type="paragraph" w:customStyle="1" w:styleId="90">
    <w:name w:val="Table Text Char Char Char"/>
    <w:link w:val="89"/>
    <w:qFormat/>
    <w:uiPriority w:val="0"/>
    <w:pPr>
      <w:snapToGrid w:val="0"/>
      <w:spacing w:before="80" w:after="80"/>
    </w:pPr>
    <w:rPr>
      <w:rFonts w:ascii="Arial" w:hAnsi="Arial" w:eastAsia="宋体" w:cs="Times New Roman"/>
      <w:kern w:val="2"/>
      <w:sz w:val="18"/>
      <w:lang w:val="en-US" w:eastAsia="zh-CN" w:bidi="ar-SA"/>
    </w:rPr>
  </w:style>
  <w:style w:type="character" w:customStyle="1" w:styleId="91">
    <w:name w:val="Char Char11"/>
    <w:qFormat/>
    <w:uiPriority w:val="0"/>
    <w:rPr>
      <w:rFonts w:ascii="宋体"/>
      <w:kern w:val="2"/>
      <w:sz w:val="28"/>
    </w:rPr>
  </w:style>
  <w:style w:type="character" w:customStyle="1" w:styleId="92">
    <w:name w:val="Char Char2"/>
    <w:qFormat/>
    <w:uiPriority w:val="0"/>
    <w:rPr>
      <w:rFonts w:eastAsia="宋体"/>
      <w:kern w:val="2"/>
      <w:sz w:val="18"/>
      <w:lang w:val="en-US" w:eastAsia="zh-CN"/>
    </w:rPr>
  </w:style>
  <w:style w:type="character" w:customStyle="1" w:styleId="93">
    <w:name w:val="font131"/>
    <w:qFormat/>
    <w:uiPriority w:val="0"/>
    <w:rPr>
      <w:rFonts w:ascii="宋体" w:hAnsi="宋体" w:eastAsia="宋体" w:cs="宋体"/>
      <w:color w:val="FF0000"/>
      <w:sz w:val="20"/>
      <w:szCs w:val="20"/>
      <w:u w:val="none"/>
    </w:rPr>
  </w:style>
  <w:style w:type="character" w:customStyle="1" w:styleId="94">
    <w:name w:val="未命名11"/>
    <w:qFormat/>
    <w:uiPriority w:val="0"/>
    <w:rPr>
      <w:color w:val="77FFFF"/>
      <w:sz w:val="24"/>
    </w:rPr>
  </w:style>
  <w:style w:type="character" w:customStyle="1" w:styleId="95">
    <w:name w:val="font01"/>
    <w:qFormat/>
    <w:uiPriority w:val="0"/>
    <w:rPr>
      <w:rFonts w:hint="eastAsia" w:ascii="宋体" w:hAnsi="宋体" w:eastAsia="宋体" w:cs="宋体"/>
      <w:color w:val="000000"/>
      <w:sz w:val="20"/>
      <w:szCs w:val="20"/>
      <w:u w:val="none"/>
    </w:rPr>
  </w:style>
  <w:style w:type="character" w:customStyle="1" w:styleId="96">
    <w:name w:val="H2 Char"/>
    <w:qFormat/>
    <w:uiPriority w:val="0"/>
    <w:rPr>
      <w:rFonts w:ascii="Arial" w:hAnsi="Arial" w:eastAsia="宋体"/>
      <w:kern w:val="2"/>
      <w:sz w:val="28"/>
      <w:lang w:val="en-US" w:eastAsia="zh-CN"/>
    </w:rPr>
  </w:style>
  <w:style w:type="character" w:customStyle="1" w:styleId="97">
    <w:name w:val="Char Char5"/>
    <w:qFormat/>
    <w:uiPriority w:val="0"/>
    <w:rPr>
      <w:rFonts w:ascii="Arial" w:hAnsi="Arial" w:eastAsia="宋体"/>
      <w:b/>
      <w:smallCaps/>
      <w:kern w:val="28"/>
      <w:sz w:val="36"/>
      <w:lang w:val="en-US" w:eastAsia="en-US"/>
    </w:rPr>
  </w:style>
  <w:style w:type="character" w:customStyle="1" w:styleId="98">
    <w:name w:val="正文 + 三号 Char"/>
    <w:qFormat/>
    <w:uiPriority w:val="0"/>
    <w:rPr>
      <w:rFonts w:eastAsia="宋体"/>
      <w:kern w:val="2"/>
      <w:sz w:val="21"/>
      <w:lang w:val="en-US" w:eastAsia="zh-CN"/>
    </w:rPr>
  </w:style>
  <w:style w:type="character" w:customStyle="1" w:styleId="99">
    <w:name w:val="正文文本缩进 2 Char"/>
    <w:link w:val="33"/>
    <w:qFormat/>
    <w:uiPriority w:val="0"/>
    <w:rPr>
      <w:kern w:val="2"/>
      <w:sz w:val="28"/>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crowed11"/>
    <w:qFormat/>
    <w:uiPriority w:val="0"/>
    <w:rPr>
      <w:rFonts w:hint="default"/>
      <w:sz w:val="24"/>
    </w:rPr>
  </w:style>
  <w:style w:type="character" w:customStyle="1" w:styleId="102">
    <w:name w:val="content-white1"/>
    <w:qFormat/>
    <w:uiPriority w:val="0"/>
    <w:rPr>
      <w:color w:val="auto"/>
      <w:sz w:val="18"/>
      <w:u w:val="none"/>
    </w:rPr>
  </w:style>
  <w:style w:type="character" w:customStyle="1" w:styleId="103">
    <w:name w:val="标书正文:  0.74 厘米 Char1"/>
    <w:qFormat/>
    <w:uiPriority w:val="0"/>
    <w:rPr>
      <w:rFonts w:eastAsia="宋体"/>
      <w:kern w:val="2"/>
      <w:sz w:val="24"/>
      <w:lang w:val="en-US" w:eastAsia="zh-CN"/>
    </w:rPr>
  </w:style>
  <w:style w:type="character" w:customStyle="1" w:styleId="104">
    <w:name w:val="Char Char7"/>
    <w:qFormat/>
    <w:uiPriority w:val="0"/>
    <w:rPr>
      <w:rFonts w:ascii="宋体" w:hAnsi="宋体" w:eastAsia="宋体"/>
      <w:kern w:val="2"/>
      <w:sz w:val="28"/>
    </w:rPr>
  </w:style>
  <w:style w:type="character" w:customStyle="1" w:styleId="105">
    <w:name w:val="font91"/>
    <w:qFormat/>
    <w:uiPriority w:val="0"/>
    <w:rPr>
      <w:rFonts w:hint="default" w:ascii="Times New Roman" w:hAnsi="Times New Roman" w:cs="Times New Roman"/>
      <w:color w:val="000000"/>
      <w:sz w:val="20"/>
      <w:szCs w:val="20"/>
      <w:u w:val="none"/>
    </w:rPr>
  </w:style>
  <w:style w:type="character" w:customStyle="1" w:styleId="106">
    <w:name w:val="font1"/>
    <w:qFormat/>
    <w:uiPriority w:val="0"/>
    <w:rPr>
      <w:color w:val="000000"/>
      <w:sz w:val="18"/>
    </w:rPr>
  </w:style>
  <w:style w:type="paragraph" w:customStyle="1" w:styleId="107">
    <w:name w:val="正文 + 三号"/>
    <w:basedOn w:val="1"/>
    <w:qFormat/>
    <w:uiPriority w:val="0"/>
    <w:rPr>
      <w:sz w:val="21"/>
    </w:rPr>
  </w:style>
  <w:style w:type="paragraph" w:customStyle="1" w:styleId="108">
    <w:name w:val="图例"/>
    <w:basedOn w:val="1"/>
    <w:qFormat/>
    <w:uiPriority w:val="0"/>
    <w:pPr>
      <w:spacing w:before="120" w:after="120" w:line="360" w:lineRule="auto"/>
      <w:jc w:val="center"/>
    </w:pPr>
    <w:rPr>
      <w:rFonts w:eastAsia="仿宋_GB2312"/>
      <w:b/>
      <w:sz w:val="24"/>
    </w:rPr>
  </w:style>
  <w:style w:type="paragraph" w:customStyle="1" w:styleId="109">
    <w:name w:val="Char2 Char Char Char Char Char Char"/>
    <w:basedOn w:val="1"/>
    <w:qFormat/>
    <w:uiPriority w:val="0"/>
    <w:rPr>
      <w:rFonts w:ascii="仿宋_GB2312"/>
      <w:b/>
      <w:sz w:val="30"/>
    </w:rPr>
  </w:style>
  <w:style w:type="paragraph" w:customStyle="1" w:styleId="110">
    <w:name w:val="Style Heading 3h3Heading 3 - oldLevel 3 HeadH3level_3PIM 3se..."/>
    <w:basedOn w:val="5"/>
    <w:qFormat/>
    <w:uiPriority w:val="0"/>
    <w:pPr>
      <w:tabs>
        <w:tab w:val="left" w:pos="709"/>
        <w:tab w:val="left" w:pos="1620"/>
      </w:tabs>
      <w:ind w:left="1620" w:hanging="360"/>
    </w:pPr>
  </w:style>
  <w:style w:type="paragraph" w:customStyle="1" w:styleId="111">
    <w:name w:val="Title - Date"/>
    <w:basedOn w:val="53"/>
    <w:next w:val="1"/>
    <w:qFormat/>
    <w:uiPriority w:val="0"/>
    <w:pPr>
      <w:spacing w:before="240" w:after="720"/>
    </w:pPr>
    <w:rPr>
      <w:sz w:val="28"/>
    </w:rPr>
  </w:style>
  <w:style w:type="paragraph" w:customStyle="1" w:styleId="112">
    <w:name w:val="IN Feature"/>
    <w:next w:val="113"/>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3">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14">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5">
    <w:name w:val="Char1"/>
    <w:basedOn w:val="1"/>
    <w:qFormat/>
    <w:uiPriority w:val="0"/>
    <w:rPr>
      <w:sz w:val="21"/>
    </w:rPr>
  </w:style>
  <w:style w:type="paragraph" w:customStyle="1" w:styleId="116">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1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18">
    <w:name w:val="二级列表"/>
    <w:basedOn w:val="119"/>
    <w:next w:val="119"/>
    <w:qFormat/>
    <w:uiPriority w:val="0"/>
    <w:pPr>
      <w:tabs>
        <w:tab w:val="left" w:pos="2120"/>
      </w:tabs>
      <w:ind w:firstLine="0" w:firstLineChars="0"/>
    </w:pPr>
    <w:rPr>
      <w:b/>
    </w:rPr>
  </w:style>
  <w:style w:type="paragraph" w:customStyle="1" w:styleId="119">
    <w:name w:val="段落正文"/>
    <w:basedOn w:val="1"/>
    <w:qFormat/>
    <w:uiPriority w:val="0"/>
    <w:pPr>
      <w:spacing w:beforeLines="50" w:line="360" w:lineRule="auto"/>
      <w:ind w:firstLine="200" w:firstLineChars="200"/>
    </w:pPr>
    <w:rPr>
      <w:spacing w:val="2"/>
      <w:sz w:val="24"/>
    </w:rPr>
  </w:style>
  <w:style w:type="paragraph" w:customStyle="1" w:styleId="120">
    <w:name w:val="一级条标题"/>
    <w:basedOn w:val="121"/>
    <w:next w:val="122"/>
    <w:qFormat/>
    <w:uiPriority w:val="0"/>
    <w:pPr>
      <w:numPr>
        <w:numId w:val="0"/>
      </w:numPr>
      <w:spacing w:beforeLines="0" w:afterLines="0"/>
      <w:ind w:left="525"/>
      <w:outlineLvl w:val="2"/>
    </w:pPr>
    <w:rPr>
      <w:sz w:val="21"/>
    </w:rPr>
  </w:style>
  <w:style w:type="paragraph" w:customStyle="1" w:styleId="121">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24">
    <w:name w:val="标准正文"/>
    <w:basedOn w:val="23"/>
    <w:qFormat/>
    <w:uiPriority w:val="0"/>
    <w:pPr>
      <w:spacing w:before="60" w:after="60" w:line="360" w:lineRule="auto"/>
      <w:ind w:left="0" w:firstLine="482"/>
    </w:pPr>
    <w:rPr>
      <w:rFonts w:ascii="Arial" w:hAnsi="Arial"/>
      <w:sz w:val="24"/>
    </w:rPr>
  </w:style>
  <w:style w:type="paragraph" w:customStyle="1" w:styleId="125">
    <w:name w:val="Char Char Char Char Char"/>
    <w:basedOn w:val="1"/>
    <w:qFormat/>
    <w:uiPriority w:val="0"/>
    <w:pPr>
      <w:tabs>
        <w:tab w:val="left" w:pos="425"/>
      </w:tabs>
      <w:ind w:left="1620" w:hanging="360"/>
    </w:pPr>
    <w:rPr>
      <w:rFonts w:ascii="Tahoma" w:hAnsi="Tahoma"/>
      <w:sz w:val="24"/>
    </w:rPr>
  </w:style>
  <w:style w:type="paragraph" w:customStyle="1" w:styleId="126">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7">
    <w:name w:val="图片文字"/>
    <w:basedOn w:val="1"/>
    <w:qFormat/>
    <w:uiPriority w:val="0"/>
    <w:pPr>
      <w:spacing w:line="240" w:lineRule="atLeast"/>
      <w:jc w:val="center"/>
    </w:pPr>
    <w:rPr>
      <w:sz w:val="21"/>
    </w:rPr>
  </w:style>
  <w:style w:type="paragraph" w:customStyle="1" w:styleId="128">
    <w:name w:val="Char Char Char Char Char Char Char"/>
    <w:basedOn w:val="1"/>
    <w:qFormat/>
    <w:uiPriority w:val="0"/>
    <w:rPr>
      <w:rFonts w:ascii="Tahoma" w:hAnsi="Tahoma"/>
      <w:sz w:val="24"/>
    </w:rPr>
  </w:style>
  <w:style w:type="paragraph" w:customStyle="1" w:styleId="129">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默认段落字体 Para Char Char Char Char Char Char Char"/>
    <w:basedOn w:val="1"/>
    <w:qFormat/>
    <w:uiPriority w:val="0"/>
    <w:rPr>
      <w:rFonts w:ascii="Tahoma" w:hAnsi="Tahoma"/>
      <w:sz w:val="24"/>
    </w:rPr>
  </w:style>
  <w:style w:type="paragraph" w:customStyle="1" w:styleId="13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3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4">
    <w:name w:val="摘要"/>
    <w:basedOn w:val="1"/>
    <w:next w:val="4"/>
    <w:qFormat/>
    <w:uiPriority w:val="0"/>
    <w:pPr>
      <w:spacing w:line="360" w:lineRule="auto"/>
    </w:pPr>
    <w:rPr>
      <w:rFonts w:eastAsia="黑体"/>
      <w:sz w:val="20"/>
    </w:rPr>
  </w:style>
  <w:style w:type="paragraph" w:customStyle="1" w:styleId="135">
    <w:name w:val="修订1"/>
    <w:qFormat/>
    <w:uiPriority w:val="0"/>
    <w:rPr>
      <w:rFonts w:ascii="Times New Roman" w:hAnsi="Times New Roman" w:eastAsia="宋体" w:cs="Times New Roman"/>
      <w:kern w:val="2"/>
      <w:sz w:val="21"/>
      <w:lang w:val="en-US" w:eastAsia="zh-CN" w:bidi="ar-SA"/>
    </w:rPr>
  </w:style>
  <w:style w:type="paragraph" w:customStyle="1" w:styleId="136">
    <w:name w:val="正文字缩2字"/>
    <w:basedOn w:val="1"/>
    <w:qFormat/>
    <w:uiPriority w:val="0"/>
    <w:pPr>
      <w:spacing w:before="60" w:after="60" w:line="360" w:lineRule="auto"/>
      <w:ind w:left="200" w:leftChars="200" w:firstLine="200" w:firstLineChars="200"/>
    </w:pPr>
    <w:rPr>
      <w:sz w:val="24"/>
    </w:rPr>
  </w:style>
  <w:style w:type="paragraph" w:customStyle="1" w:styleId="137">
    <w:name w:val="Char"/>
    <w:basedOn w:val="1"/>
    <w:qFormat/>
    <w:uiPriority w:val="0"/>
    <w:pPr>
      <w:spacing w:line="240" w:lineRule="atLeast"/>
      <w:ind w:left="420" w:firstLine="420"/>
    </w:pPr>
    <w:rPr>
      <w:kern w:val="0"/>
      <w:sz w:val="21"/>
    </w:rPr>
  </w:style>
  <w:style w:type="paragraph" w:customStyle="1" w:styleId="138">
    <w:name w:val="正文1"/>
    <w:basedOn w:val="1"/>
    <w:qFormat/>
    <w:uiPriority w:val="0"/>
    <w:pPr>
      <w:spacing w:line="300" w:lineRule="auto"/>
      <w:ind w:firstLine="200" w:firstLineChars="200"/>
    </w:pPr>
    <w:rPr>
      <w:sz w:val="24"/>
    </w:rPr>
  </w:style>
  <w:style w:type="paragraph" w:customStyle="1" w:styleId="13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40">
    <w:name w:val="_"/>
    <w:basedOn w:val="1"/>
    <w:qFormat/>
    <w:uiPriority w:val="0"/>
    <w:pPr>
      <w:adjustRightInd w:val="0"/>
      <w:spacing w:line="360" w:lineRule="auto"/>
      <w:ind w:left="480" w:firstLine="200" w:firstLineChars="200"/>
      <w:textAlignment w:val="baseline"/>
    </w:pPr>
    <w:rPr>
      <w:kern w:val="0"/>
      <w:sz w:val="24"/>
    </w:rPr>
  </w:style>
  <w:style w:type="paragraph" w:customStyle="1" w:styleId="141">
    <w:name w:val="样式 正文缩进正文（首行缩进两字）表正文正文非缩进特点标题4段1 + 首行缩进:  2 字符"/>
    <w:basedOn w:val="16"/>
    <w:qFormat/>
    <w:uiPriority w:val="0"/>
    <w:pPr>
      <w:ind w:firstLine="480" w:firstLineChars="200"/>
    </w:pPr>
  </w:style>
  <w:style w:type="paragraph" w:customStyle="1" w:styleId="14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44">
    <w:name w:val="表格文本"/>
    <w:qFormat/>
    <w:uiPriority w:val="0"/>
    <w:pPr>
      <w:tabs>
        <w:tab w:val="decimal" w:pos="0"/>
      </w:tabs>
    </w:pPr>
    <w:rPr>
      <w:rFonts w:ascii="Arial" w:hAnsi="Arial" w:eastAsia="宋体" w:cs="Times New Roman"/>
      <w:sz w:val="21"/>
      <w:lang w:val="en-US" w:eastAsia="zh-CN" w:bidi="ar-SA"/>
    </w:rPr>
  </w:style>
  <w:style w:type="paragraph" w:customStyle="1" w:styleId="145">
    <w:name w:val="编号正文"/>
    <w:basedOn w:val="146"/>
    <w:qFormat/>
    <w:uiPriority w:val="0"/>
    <w:pPr>
      <w:snapToGrid/>
      <w:spacing w:line="360" w:lineRule="auto"/>
      <w:ind w:left="1407" w:hanging="1047"/>
      <w:jc w:val="left"/>
    </w:pPr>
    <w:rPr>
      <w:rFonts w:eastAsia="仿宋_GB2312"/>
    </w:rPr>
  </w:style>
  <w:style w:type="paragraph" w:customStyle="1" w:styleId="14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47">
    <w:name w:val="关键词"/>
    <w:basedOn w:val="1"/>
    <w:next w:val="1"/>
    <w:qFormat/>
    <w:uiPriority w:val="0"/>
    <w:pPr>
      <w:spacing w:line="360" w:lineRule="auto"/>
    </w:pPr>
    <w:rPr>
      <w:rFonts w:eastAsia="黑体"/>
      <w:sz w:val="20"/>
    </w:rPr>
  </w:style>
  <w:style w:type="paragraph" w:customStyle="1" w:styleId="148">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49">
    <w:name w:val="样式 正文首行缩进 2 + 首行缩进:  2 字符"/>
    <w:basedOn w:val="1"/>
    <w:qFormat/>
    <w:uiPriority w:val="0"/>
    <w:pPr>
      <w:numPr>
        <w:ilvl w:val="0"/>
        <w:numId w:val="5"/>
      </w:numPr>
      <w:adjustRightInd w:val="0"/>
      <w:snapToGrid w:val="0"/>
      <w:spacing w:line="360" w:lineRule="auto"/>
    </w:pPr>
    <w:rPr>
      <w:rFonts w:ascii="Arial" w:hAnsi="Arial"/>
      <w:b/>
      <w:sz w:val="24"/>
    </w:rPr>
  </w:style>
  <w:style w:type="paragraph" w:customStyle="1" w:styleId="150">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5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Table Contents"/>
    <w:basedOn w:val="2"/>
    <w:qFormat/>
    <w:uiPriority w:val="0"/>
    <w:pPr>
      <w:suppressAutoHyphens/>
      <w:jc w:val="left"/>
    </w:pPr>
    <w:rPr>
      <w:rFonts w:ascii="Times New Roman" w:eastAsia="Times New Roman"/>
      <w:kern w:val="0"/>
      <w:sz w:val="24"/>
    </w:rPr>
  </w:style>
  <w:style w:type="paragraph" w:customStyle="1" w:styleId="154">
    <w:name w:val="Char2"/>
    <w:basedOn w:val="1"/>
    <w:qFormat/>
    <w:uiPriority w:val="0"/>
    <w:pPr>
      <w:spacing w:line="240" w:lineRule="atLeast"/>
      <w:ind w:left="420" w:firstLine="420"/>
    </w:pPr>
    <w:rPr>
      <w:kern w:val="0"/>
      <w:sz w:val="21"/>
    </w:rPr>
  </w:style>
  <w:style w:type="paragraph" w:customStyle="1" w:styleId="155">
    <w:name w:val="样式 宋体 五号 行距: 单倍行距"/>
    <w:basedOn w:val="1"/>
    <w:qFormat/>
    <w:uiPriority w:val="0"/>
    <w:pPr>
      <w:adjustRightInd w:val="0"/>
      <w:jc w:val="left"/>
    </w:pPr>
    <w:rPr>
      <w:rFonts w:ascii="宋体" w:hAnsi="宋体"/>
      <w:kern w:val="0"/>
      <w:sz w:val="21"/>
    </w:rPr>
  </w:style>
  <w:style w:type="paragraph" w:customStyle="1" w:styleId="156">
    <w:name w:val="文本1"/>
    <w:basedOn w:val="1"/>
    <w:qFormat/>
    <w:uiPriority w:val="0"/>
    <w:pPr>
      <w:adjustRightInd w:val="0"/>
      <w:spacing w:line="312" w:lineRule="atLeast"/>
      <w:jc w:val="center"/>
      <w:textAlignment w:val="baseline"/>
    </w:pPr>
    <w:rPr>
      <w:kern w:val="0"/>
      <w:sz w:val="18"/>
    </w:rPr>
  </w:style>
  <w:style w:type="paragraph" w:customStyle="1" w:styleId="15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9">
    <w:name w:val="样式2"/>
    <w:basedOn w:val="6"/>
    <w:qFormat/>
    <w:uiPriority w:val="0"/>
    <w:pPr>
      <w:numPr>
        <w:ilvl w:val="0"/>
        <w:numId w:val="6"/>
      </w:numPr>
      <w:spacing w:before="560" w:line="400" w:lineRule="exact"/>
      <w:jc w:val="center"/>
      <w:outlineLvl w:val="0"/>
    </w:pPr>
    <w:rPr>
      <w:b w:val="0"/>
      <w:sz w:val="44"/>
    </w:rPr>
  </w:style>
  <w:style w:type="paragraph" w:customStyle="1" w:styleId="160">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61">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63">
    <w:name w:val="正文表格"/>
    <w:basedOn w:val="1"/>
    <w:qFormat/>
    <w:uiPriority w:val="0"/>
    <w:pPr>
      <w:adjustRightInd w:val="0"/>
      <w:spacing w:before="40" w:after="40"/>
    </w:pPr>
    <w:rPr>
      <w:sz w:val="24"/>
    </w:rPr>
  </w:style>
  <w:style w:type="paragraph" w:styleId="164">
    <w:name w:val="List Paragraph"/>
    <w:basedOn w:val="1"/>
    <w:qFormat/>
    <w:uiPriority w:val="34"/>
    <w:pPr>
      <w:ind w:firstLine="420" w:firstLineChars="200"/>
    </w:pPr>
  </w:style>
  <w:style w:type="paragraph" w:customStyle="1" w:styleId="165">
    <w:name w:val="内容标题"/>
    <w:basedOn w:val="18"/>
    <w:qFormat/>
    <w:uiPriority w:val="0"/>
    <w:rPr>
      <w:rFonts w:ascii="Tahoma" w:hAnsi="Tahoma"/>
      <w:sz w:val="24"/>
    </w:rPr>
  </w:style>
  <w:style w:type="paragraph" w:customStyle="1" w:styleId="166">
    <w:name w:val="H1"/>
    <w:basedOn w:val="1"/>
    <w:qFormat/>
    <w:uiPriority w:val="0"/>
    <w:pPr>
      <w:outlineLvl w:val="0"/>
    </w:pPr>
    <w:rPr>
      <w:rFonts w:ascii="黑体" w:hAnsi="黑体" w:eastAsia="黑体"/>
    </w:rPr>
  </w:style>
  <w:style w:type="paragraph" w:customStyle="1" w:styleId="167">
    <w:name w:val="Char Char14 Char Char"/>
    <w:basedOn w:val="1"/>
    <w:qFormat/>
    <w:uiPriority w:val="0"/>
    <w:rPr>
      <w:sz w:val="21"/>
      <w:szCs w:val="24"/>
    </w:rPr>
  </w:style>
  <w:style w:type="paragraph" w:customStyle="1" w:styleId="168">
    <w:name w:val="Char Char1 Char"/>
    <w:basedOn w:val="1"/>
    <w:qFormat/>
    <w:uiPriority w:val="0"/>
    <w:rPr>
      <w:rFonts w:ascii="Tahoma" w:hAnsi="Tahoma"/>
      <w:sz w:val="24"/>
      <w:szCs w:val="24"/>
    </w:rPr>
  </w:style>
  <w:style w:type="paragraph" w:customStyle="1" w:styleId="169">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70">
    <w:name w:val="af"/>
    <w:basedOn w:val="1"/>
    <w:qFormat/>
    <w:uiPriority w:val="0"/>
    <w:pPr>
      <w:widowControl/>
      <w:spacing w:line="300" w:lineRule="atLeast"/>
      <w:jc w:val="left"/>
    </w:pPr>
    <w:rPr>
      <w:rFonts w:ascii="宋体" w:hAnsi="宋体"/>
      <w:kern w:val="0"/>
      <w:sz w:val="18"/>
    </w:rPr>
  </w:style>
  <w:style w:type="paragraph" w:customStyle="1" w:styleId="171">
    <w:name w:val="附录3"/>
    <w:basedOn w:val="1"/>
    <w:next w:val="1"/>
    <w:qFormat/>
    <w:uiPriority w:val="0"/>
    <w:pPr>
      <w:tabs>
        <w:tab w:val="left" w:pos="851"/>
      </w:tabs>
      <w:ind w:left="425" w:hanging="425"/>
      <w:outlineLvl w:val="2"/>
    </w:pPr>
    <w:rPr>
      <w:rFonts w:eastAsia="黑体"/>
      <w:b/>
      <w:sz w:val="32"/>
    </w:rPr>
  </w:style>
  <w:style w:type="paragraph" w:customStyle="1" w:styleId="172">
    <w:name w:val="可研正文"/>
    <w:basedOn w:val="2"/>
    <w:qFormat/>
    <w:uiPriority w:val="0"/>
    <w:pPr>
      <w:adjustRightInd w:val="0"/>
      <w:snapToGrid w:val="0"/>
      <w:spacing w:line="440" w:lineRule="exact"/>
      <w:ind w:firstLine="567"/>
    </w:pPr>
    <w:rPr>
      <w:sz w:val="28"/>
    </w:rPr>
  </w:style>
  <w:style w:type="paragraph" w:customStyle="1" w:styleId="173">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4">
    <w:name w:val="表文字"/>
    <w:qFormat/>
    <w:uiPriority w:val="0"/>
    <w:rPr>
      <w:rFonts w:ascii="宋体" w:hAnsi="Times New Roman" w:eastAsia="宋体" w:cs="Times New Roman"/>
      <w:kern w:val="2"/>
      <w:lang w:val="en-US" w:eastAsia="zh-CN" w:bidi="ar-SA"/>
    </w:rPr>
  </w:style>
  <w:style w:type="paragraph" w:customStyle="1" w:styleId="175">
    <w:name w:val="标书正文:  0.74 厘米"/>
    <w:basedOn w:val="1"/>
    <w:qFormat/>
    <w:uiPriority w:val="0"/>
    <w:pPr>
      <w:snapToGrid w:val="0"/>
      <w:spacing w:line="360" w:lineRule="auto"/>
      <w:ind w:firstLine="420"/>
    </w:pPr>
    <w:rPr>
      <w:sz w:val="24"/>
    </w:rPr>
  </w:style>
  <w:style w:type="paragraph" w:customStyle="1" w:styleId="176">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77">
    <w:name w:val="样式1xz"/>
    <w:basedOn w:val="1"/>
    <w:qFormat/>
    <w:uiPriority w:val="0"/>
    <w:pPr>
      <w:tabs>
        <w:tab w:val="left" w:pos="1050"/>
        <w:tab w:val="right" w:leader="dot" w:pos="8296"/>
      </w:tabs>
    </w:pPr>
    <w:rPr>
      <w:caps/>
      <w:spacing w:val="20"/>
      <w:sz w:val="24"/>
    </w:rPr>
  </w:style>
  <w:style w:type="paragraph" w:customStyle="1" w:styleId="178">
    <w:name w:val="1"/>
    <w:basedOn w:val="1"/>
    <w:next w:val="30"/>
    <w:qFormat/>
    <w:uiPriority w:val="0"/>
    <w:rPr>
      <w:rFonts w:ascii="宋体" w:hAnsi="Courier New"/>
      <w:sz w:val="21"/>
    </w:rPr>
  </w:style>
  <w:style w:type="paragraph" w:customStyle="1" w:styleId="179">
    <w:name w:val="样式 样式 首行缩进:  2 字符 + 首行缩进:  2 字符"/>
    <w:basedOn w:val="1"/>
    <w:qFormat/>
    <w:uiPriority w:val="0"/>
    <w:pPr>
      <w:numPr>
        <w:ilvl w:val="0"/>
        <w:numId w:val="7"/>
      </w:numPr>
      <w:tabs>
        <w:tab w:val="clear" w:pos="1230"/>
      </w:tabs>
      <w:spacing w:line="360" w:lineRule="auto"/>
      <w:ind w:firstLine="480" w:firstLineChars="200"/>
    </w:pPr>
    <w:rPr>
      <w:sz w:val="24"/>
    </w:rPr>
  </w:style>
  <w:style w:type="paragraph" w:customStyle="1" w:styleId="180">
    <w:name w:val="没有缩进（为图形使用）"/>
    <w:basedOn w:val="1"/>
    <w:qFormat/>
    <w:uiPriority w:val="0"/>
    <w:pPr>
      <w:spacing w:before="120" w:after="120" w:line="360" w:lineRule="auto"/>
    </w:pPr>
    <w:rPr>
      <w:sz w:val="24"/>
    </w:rPr>
  </w:style>
  <w:style w:type="paragraph" w:customStyle="1" w:styleId="18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2">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83">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8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5">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86">
    <w:name w:val="1.正文"/>
    <w:basedOn w:val="1"/>
    <w:qFormat/>
    <w:uiPriority w:val="0"/>
    <w:pPr>
      <w:spacing w:line="360" w:lineRule="auto"/>
      <w:ind w:left="540" w:leftChars="225" w:firstLine="540" w:firstLineChars="225"/>
    </w:pPr>
    <w:rPr>
      <w:sz w:val="24"/>
    </w:rPr>
  </w:style>
  <w:style w:type="paragraph" w:customStyle="1" w:styleId="187">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88">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9">
    <w:name w:val="二级条标题"/>
    <w:basedOn w:val="120"/>
    <w:next w:val="122"/>
    <w:qFormat/>
    <w:uiPriority w:val="0"/>
    <w:pPr>
      <w:ind w:left="840"/>
      <w:outlineLvl w:val="3"/>
    </w:pPr>
  </w:style>
  <w:style w:type="paragraph" w:customStyle="1" w:styleId="190">
    <w:name w:val="首行缩进 1"/>
    <w:basedOn w:val="1"/>
    <w:qFormat/>
    <w:uiPriority w:val="0"/>
    <w:pPr>
      <w:spacing w:after="120" w:line="360" w:lineRule="auto"/>
      <w:ind w:firstLine="200" w:firstLineChars="200"/>
    </w:pPr>
    <w:rPr>
      <w:sz w:val="24"/>
    </w:rPr>
  </w:style>
  <w:style w:type="paragraph" w:customStyle="1" w:styleId="19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2">
    <w:name w:val="简单回函地址"/>
    <w:basedOn w:val="1"/>
    <w:qFormat/>
    <w:uiPriority w:val="0"/>
    <w:pPr>
      <w:adjustRightInd w:val="0"/>
      <w:snapToGrid w:val="0"/>
      <w:spacing w:line="360" w:lineRule="auto"/>
    </w:pPr>
    <w:rPr>
      <w:sz w:val="24"/>
    </w:rPr>
  </w:style>
  <w:style w:type="paragraph" w:customStyle="1" w:styleId="193">
    <w:name w:val="文章正文"/>
    <w:basedOn w:val="1"/>
    <w:qFormat/>
    <w:uiPriority w:val="0"/>
    <w:pPr>
      <w:ind w:firstLine="560" w:firstLineChars="200"/>
    </w:pPr>
    <w:rPr>
      <w:rFonts w:ascii="仿宋_GB2312" w:hAnsi="宋体" w:eastAsia="仿宋_GB2312"/>
      <w:color w:val="000000"/>
    </w:rPr>
  </w:style>
  <w:style w:type="paragraph" w:customStyle="1" w:styleId="194">
    <w:name w:val="首行缩进"/>
    <w:basedOn w:val="1"/>
    <w:qFormat/>
    <w:uiPriority w:val="0"/>
    <w:pPr>
      <w:numPr>
        <w:ilvl w:val="0"/>
        <w:numId w:val="8"/>
      </w:numPr>
      <w:spacing w:line="360" w:lineRule="auto"/>
    </w:pPr>
    <w:rPr>
      <w:rFonts w:eastAsia="仿宋_GB2312"/>
    </w:rPr>
  </w:style>
  <w:style w:type="paragraph" w:customStyle="1" w:styleId="195">
    <w:name w:val="Note"/>
    <w:basedOn w:val="1"/>
    <w:qFormat/>
    <w:uiPriority w:val="0"/>
    <w:pPr>
      <w:pBdr>
        <w:top w:val="single" w:color="auto" w:sz="12" w:space="3"/>
        <w:bottom w:val="single" w:color="auto" w:sz="12" w:space="3"/>
      </w:pBdr>
      <w:spacing w:line="360" w:lineRule="auto"/>
    </w:pPr>
    <w:rPr>
      <w:sz w:val="24"/>
    </w:rPr>
  </w:style>
  <w:style w:type="paragraph" w:customStyle="1" w:styleId="196">
    <w:name w:val="样式 行距: 1.5 倍行距1"/>
    <w:basedOn w:val="1"/>
    <w:qFormat/>
    <w:uiPriority w:val="0"/>
    <w:pPr>
      <w:snapToGrid w:val="0"/>
    </w:pPr>
    <w:rPr>
      <w:sz w:val="21"/>
    </w:rPr>
  </w:style>
  <w:style w:type="paragraph" w:customStyle="1" w:styleId="19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8">
    <w:name w:val="表头样式"/>
    <w:basedOn w:val="1"/>
    <w:qFormat/>
    <w:uiPriority w:val="0"/>
    <w:pPr>
      <w:autoSpaceDE w:val="0"/>
      <w:autoSpaceDN w:val="0"/>
      <w:adjustRightInd w:val="0"/>
      <w:spacing w:line="360" w:lineRule="auto"/>
      <w:jc w:val="left"/>
    </w:pPr>
    <w:rPr>
      <w:b/>
      <w:kern w:val="0"/>
      <w:sz w:val="21"/>
    </w:rPr>
  </w:style>
  <w:style w:type="paragraph" w:customStyle="1" w:styleId="199">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1">
    <w:name w:val="操作步骤"/>
    <w:basedOn w:val="1"/>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02">
    <w:name w:val="样式1"/>
    <w:basedOn w:val="6"/>
    <w:qFormat/>
    <w:uiPriority w:val="0"/>
    <w:pPr>
      <w:tabs>
        <w:tab w:val="left" w:pos="720"/>
      </w:tabs>
      <w:spacing w:before="500" w:after="260" w:line="560" w:lineRule="atLeast"/>
      <w:ind w:left="420" w:hanging="420"/>
    </w:pPr>
  </w:style>
  <w:style w:type="paragraph" w:customStyle="1" w:styleId="203">
    <w:name w:val="H2"/>
    <w:basedOn w:val="1"/>
    <w:qFormat/>
    <w:uiPriority w:val="0"/>
    <w:pPr>
      <w:outlineLvl w:val="1"/>
    </w:pPr>
    <w:rPr>
      <w:rFonts w:ascii="楷体" w:hAnsi="楷体" w:eastAsia="楷体"/>
    </w:rPr>
  </w:style>
  <w:style w:type="paragraph" w:customStyle="1" w:styleId="20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05">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06">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207">
    <w:name w:val="Char Char Char"/>
    <w:basedOn w:val="1"/>
    <w:qFormat/>
    <w:uiPriority w:val="0"/>
    <w:rPr>
      <w:rFonts w:ascii="Tahoma" w:hAnsi="Tahoma"/>
      <w:sz w:val="24"/>
    </w:rPr>
  </w:style>
  <w:style w:type="paragraph" w:customStyle="1" w:styleId="208">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20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0">
    <w:name w:val="正文（首行不缩进）"/>
    <w:basedOn w:val="1"/>
    <w:qFormat/>
    <w:uiPriority w:val="0"/>
    <w:pPr>
      <w:autoSpaceDE w:val="0"/>
      <w:autoSpaceDN w:val="0"/>
      <w:adjustRightInd w:val="0"/>
      <w:spacing w:line="360" w:lineRule="auto"/>
      <w:jc w:val="left"/>
    </w:pPr>
    <w:rPr>
      <w:kern w:val="0"/>
      <w:sz w:val="21"/>
    </w:rPr>
  </w:style>
  <w:style w:type="paragraph" w:customStyle="1" w:styleId="211">
    <w:name w:val="样式4"/>
    <w:basedOn w:val="6"/>
    <w:qFormat/>
    <w:uiPriority w:val="0"/>
    <w:pPr>
      <w:adjustRightInd w:val="0"/>
      <w:snapToGrid w:val="0"/>
    </w:pPr>
  </w:style>
  <w:style w:type="paragraph" w:customStyle="1" w:styleId="212">
    <w:name w:val="正文文本缩进 21"/>
    <w:basedOn w:val="1"/>
    <w:qFormat/>
    <w:uiPriority w:val="0"/>
    <w:pPr>
      <w:adjustRightInd w:val="0"/>
      <w:spacing w:before="120"/>
      <w:ind w:firstLine="420"/>
      <w:textAlignment w:val="baseline"/>
    </w:pPr>
    <w:rPr>
      <w:sz w:val="24"/>
    </w:rPr>
  </w:style>
  <w:style w:type="paragraph" w:customStyle="1" w:styleId="213">
    <w:name w:val="表头文本"/>
    <w:qFormat/>
    <w:uiPriority w:val="0"/>
    <w:pPr>
      <w:jc w:val="center"/>
    </w:pPr>
    <w:rPr>
      <w:rFonts w:ascii="Arial" w:hAnsi="Arial" w:eastAsia="宋体" w:cs="Times New Roman"/>
      <w:b/>
      <w:sz w:val="21"/>
      <w:lang w:val="en-US" w:eastAsia="zh-CN" w:bidi="ar-SA"/>
    </w:rPr>
  </w:style>
  <w:style w:type="paragraph" w:customStyle="1" w:styleId="214">
    <w:name w:val="默认段落字体 Para Char Char Char Char Char Char Char Char Char1 Char Char Char Char"/>
    <w:basedOn w:val="1"/>
    <w:qFormat/>
    <w:uiPriority w:val="0"/>
    <w:rPr>
      <w:rFonts w:ascii="Tahoma" w:hAnsi="Tahoma"/>
      <w:sz w:val="24"/>
    </w:rPr>
  </w:style>
  <w:style w:type="paragraph" w:customStyle="1" w:styleId="215">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16">
    <w:name w:val="BodyText"/>
    <w:basedOn w:val="1"/>
    <w:qFormat/>
    <w:uiPriority w:val="0"/>
    <w:pPr>
      <w:textAlignment w:val="baseline"/>
    </w:pPr>
    <w:rPr>
      <w:rFonts w:ascii="仿宋_GB2312" w:eastAsia="仿宋_GB2312"/>
      <w:sz w:val="32"/>
    </w:rPr>
  </w:style>
  <w:style w:type="paragraph" w:customStyle="1" w:styleId="21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8">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9">
    <w:name w:val="Char1 Char Char Char"/>
    <w:basedOn w:val="1"/>
    <w:qFormat/>
    <w:uiPriority w:val="0"/>
    <w:rPr>
      <w:rFonts w:ascii="Tahoma" w:hAnsi="Tahoma"/>
      <w:sz w:val="24"/>
    </w:rPr>
  </w:style>
  <w:style w:type="paragraph" w:customStyle="1" w:styleId="22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21">
    <w:name w:val="表号"/>
    <w:basedOn w:val="1"/>
    <w:qFormat/>
    <w:uiPriority w:val="0"/>
    <w:pPr>
      <w:numPr>
        <w:ilvl w:val="0"/>
        <w:numId w:val="11"/>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22">
    <w:name w:val="正文4"/>
    <w:basedOn w:val="1"/>
    <w:qFormat/>
    <w:uiPriority w:val="0"/>
    <w:pPr>
      <w:tabs>
        <w:tab w:val="left" w:pos="1275"/>
      </w:tabs>
      <w:spacing w:before="60" w:after="60" w:line="360" w:lineRule="auto"/>
      <w:ind w:left="820" w:leftChars="400" w:hanging="705"/>
    </w:pPr>
    <w:rPr>
      <w:sz w:val="24"/>
    </w:rPr>
  </w:style>
  <w:style w:type="paragraph" w:customStyle="1" w:styleId="223">
    <w:name w:val="标题无"/>
    <w:basedOn w:val="1"/>
    <w:qFormat/>
    <w:uiPriority w:val="0"/>
    <w:pPr>
      <w:spacing w:line="360" w:lineRule="auto"/>
    </w:pPr>
    <w:rPr>
      <w:sz w:val="24"/>
    </w:rPr>
  </w:style>
  <w:style w:type="paragraph" w:customStyle="1" w:styleId="224">
    <w:name w:val="00"/>
    <w:basedOn w:val="1"/>
    <w:qFormat/>
    <w:uiPriority w:val="0"/>
    <w:pPr>
      <w:autoSpaceDE w:val="0"/>
      <w:autoSpaceDN w:val="0"/>
      <w:adjustRightInd w:val="0"/>
      <w:jc w:val="left"/>
    </w:pPr>
    <w:rPr>
      <w:rFonts w:ascii="黑体" w:eastAsia="黑体"/>
      <w:b/>
      <w:kern w:val="0"/>
      <w:sz w:val="20"/>
    </w:rPr>
  </w:style>
  <w:style w:type="paragraph" w:customStyle="1" w:styleId="22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2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29">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0">
    <w:name w:val="正文文本 21"/>
    <w:basedOn w:val="1"/>
    <w:qFormat/>
    <w:uiPriority w:val="0"/>
    <w:pPr>
      <w:adjustRightInd w:val="0"/>
      <w:spacing w:before="120" w:line="360" w:lineRule="auto"/>
      <w:ind w:firstLine="480"/>
      <w:textAlignment w:val="baseline"/>
    </w:pPr>
    <w:rPr>
      <w:sz w:val="24"/>
    </w:rPr>
  </w:style>
  <w:style w:type="paragraph" w:customStyle="1" w:styleId="231">
    <w:name w:val="标题3——2"/>
    <w:basedOn w:val="5"/>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列表项目"/>
    <w:basedOn w:val="1"/>
    <w:qFormat/>
    <w:uiPriority w:val="0"/>
    <w:pPr>
      <w:tabs>
        <w:tab w:val="left" w:pos="420"/>
      </w:tabs>
      <w:spacing w:line="288" w:lineRule="auto"/>
      <w:ind w:left="840" w:leftChars="200" w:hanging="420" w:hangingChars="200"/>
    </w:pPr>
    <w:rPr>
      <w:sz w:val="21"/>
    </w:rPr>
  </w:style>
  <w:style w:type="paragraph" w:customStyle="1" w:styleId="233">
    <w:name w:val="文本框样式1"/>
    <w:basedOn w:val="1"/>
    <w:qFormat/>
    <w:uiPriority w:val="0"/>
    <w:pPr>
      <w:adjustRightInd w:val="0"/>
      <w:snapToGrid w:val="0"/>
      <w:spacing w:before="60" w:line="180" w:lineRule="exact"/>
      <w:jc w:val="center"/>
    </w:pPr>
    <w:rPr>
      <w:sz w:val="21"/>
    </w:rPr>
  </w:style>
  <w:style w:type="paragraph" w:customStyle="1" w:styleId="234">
    <w:name w:val="Char1 Char Char Char1"/>
    <w:basedOn w:val="1"/>
    <w:qFormat/>
    <w:uiPriority w:val="0"/>
    <w:rPr>
      <w:rFonts w:ascii="Tahoma" w:hAnsi="Tahoma"/>
      <w:sz w:val="30"/>
    </w:rPr>
  </w:style>
  <w:style w:type="paragraph" w:customStyle="1" w:styleId="235">
    <w:name w:val="Char Char 字元 字元 字元 Char Char Char Char"/>
    <w:basedOn w:val="1"/>
    <w:qFormat/>
    <w:uiPriority w:val="0"/>
    <w:pPr>
      <w:adjustRightInd w:val="0"/>
      <w:spacing w:line="360" w:lineRule="auto"/>
    </w:pPr>
    <w:rPr>
      <w:kern w:val="0"/>
      <w:sz w:val="24"/>
    </w:rPr>
  </w:style>
  <w:style w:type="paragraph" w:customStyle="1" w:styleId="236">
    <w:name w:val="样式 首行缩进:  0.74 厘米"/>
    <w:basedOn w:val="1"/>
    <w:qFormat/>
    <w:uiPriority w:val="0"/>
    <w:pPr>
      <w:spacing w:line="360" w:lineRule="auto"/>
      <w:ind w:firstLine="420"/>
    </w:pPr>
    <w:rPr>
      <w:sz w:val="24"/>
    </w:rPr>
  </w:style>
  <w:style w:type="paragraph" w:customStyle="1" w:styleId="237">
    <w:name w:val="Char Char Char Char Char Char Char Char Char Char Char Char Char Char Char Char"/>
    <w:basedOn w:val="1"/>
    <w:qFormat/>
    <w:uiPriority w:val="0"/>
    <w:pPr>
      <w:tabs>
        <w:tab w:val="left" w:pos="360"/>
      </w:tabs>
    </w:pPr>
    <w:rPr>
      <w:sz w:val="24"/>
    </w:rPr>
  </w:style>
  <w:style w:type="paragraph" w:customStyle="1" w:styleId="238">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239">
    <w:name w:val="表格内文字"/>
    <w:basedOn w:val="30"/>
    <w:qFormat/>
    <w:uiPriority w:val="0"/>
    <w:pPr>
      <w:adjustRightInd w:val="0"/>
    </w:pPr>
    <w:rPr>
      <w:color w:val="000000"/>
      <w:lang w:val="en-GB"/>
    </w:rPr>
  </w:style>
  <w:style w:type="paragraph" w:customStyle="1" w:styleId="240">
    <w:name w:val="Char Char Char Char Char Char Char1"/>
    <w:basedOn w:val="18"/>
    <w:qFormat/>
    <w:uiPriority w:val="0"/>
    <w:rPr>
      <w:rFonts w:ascii="宋体" w:hAnsi="Tahoma"/>
    </w:rPr>
  </w:style>
  <w:style w:type="paragraph" w:customStyle="1" w:styleId="24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Title - Revision"/>
    <w:basedOn w:val="53"/>
    <w:qFormat/>
    <w:uiPriority w:val="0"/>
    <w:pPr>
      <w:spacing w:before="72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42</Pages>
  <Words>3401</Words>
  <Characters>19389</Characters>
  <Lines>161</Lines>
  <Paragraphs>45</Paragraphs>
  <TotalTime>0</TotalTime>
  <ScaleCrop>false</ScaleCrop>
  <LinksUpToDate>false</LinksUpToDate>
  <CharactersWithSpaces>22745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2020-09-07T03:53:00Z</dcterms:created>
  <dc:creator>罗成</dc:creator>
  <cp:lastModifiedBy>王大脸</cp:lastModifiedBy>
  <cp:lastPrinted>2016-12-08T04:12:00Z</cp:lastPrinted>
  <dcterms:modified xsi:type="dcterms:W3CDTF">2020-09-11T05:15:28Z</dcterms:modified>
  <dc:title>竞争性谈判文件</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